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 w:after="15" w:line="540" w:lineRule="atLeast"/>
        <w:ind w:right="16"/>
        <w:rPr>
          <w:rFonts w:asciiTheme="majorEastAsia" w:hAnsiTheme="majorEastAsia" w:eastAsiaTheme="majorEastAsia"/>
          <w:b/>
          <w:color w:val="000000" w:themeColor="text1"/>
          <w:sz w:val="44"/>
          <w:szCs w:val="44"/>
        </w:rPr>
      </w:pPr>
      <w:r>
        <w:rPr>
          <w:rFonts w:asciiTheme="majorEastAsia" w:hAnsiTheme="majorEastAsia" w:eastAsiaTheme="majorEastAsia"/>
          <w:b/>
          <w:color w:val="000000" w:themeColor="text1"/>
          <w:sz w:val="44"/>
          <w:szCs w:val="44"/>
        </w:rPr>
        <w:t>衡南县红十字会201</w:t>
      </w:r>
      <w:r>
        <w:rPr>
          <w:rFonts w:hint="eastAsia" w:asciiTheme="majorEastAsia" w:hAnsiTheme="majorEastAsia" w:eastAsiaTheme="majorEastAsia"/>
          <w:b/>
          <w:color w:val="000000" w:themeColor="text1"/>
          <w:sz w:val="44"/>
          <w:szCs w:val="44"/>
        </w:rPr>
        <w:t>8</w:t>
      </w:r>
      <w:r>
        <w:rPr>
          <w:rFonts w:asciiTheme="majorEastAsia" w:hAnsiTheme="majorEastAsia" w:eastAsiaTheme="majorEastAsia"/>
          <w:b/>
          <w:color w:val="000000" w:themeColor="text1"/>
          <w:sz w:val="44"/>
          <w:szCs w:val="44"/>
        </w:rPr>
        <w:t>年部门决算情况说明</w:t>
      </w:r>
    </w:p>
    <w:p>
      <w:pPr>
        <w:shd w:val="solid" w:color="FFFFFF" w:fill="auto"/>
        <w:autoSpaceDN w:val="0"/>
        <w:spacing w:line="300" w:lineRule="atLeast"/>
        <w:jc w:val="center"/>
        <w:rPr>
          <w:rFonts w:hint="eastAsia" w:ascii="宋体" w:hAnsi="宋体" w:eastAsia="宋体" w:cs="宋体"/>
          <w:b/>
          <w:bCs/>
          <w:sz w:val="32"/>
          <w:szCs w:val="32"/>
        </w:rPr>
      </w:pPr>
      <w:r>
        <w:rPr>
          <w:rFonts w:hint="eastAsia" w:ascii="宋体" w:hAnsi="宋体" w:eastAsia="宋体" w:cs="Times New Roman"/>
          <w:b/>
          <w:color w:val="000000"/>
          <w:sz w:val="44"/>
          <w:szCs w:val="44"/>
          <w:shd w:val="clear" w:color="auto" w:fill="FFFFFF"/>
        </w:rPr>
        <w:t>目 录</w:t>
      </w:r>
    </w:p>
    <w:p>
      <w:pPr>
        <w:jc w:val="left"/>
        <w:rPr>
          <w:rFonts w:hint="eastAsia" w:ascii="宋体" w:hAnsi="宋体" w:eastAsia="宋体" w:cs="宋体"/>
          <w:b/>
          <w:bCs/>
          <w:sz w:val="28"/>
          <w:szCs w:val="28"/>
        </w:rPr>
      </w:pPr>
      <w:r>
        <w:rPr>
          <w:rFonts w:hint="eastAsia" w:ascii="宋体" w:hAnsi="宋体" w:eastAsia="宋体" w:cs="宋体"/>
          <w:b/>
          <w:bCs/>
          <w:sz w:val="28"/>
          <w:szCs w:val="28"/>
        </w:rPr>
        <w:t>第一部分部门概况</w:t>
      </w:r>
    </w:p>
    <w:p>
      <w:pPr>
        <w:jc w:val="left"/>
        <w:rPr>
          <w:rFonts w:hint="eastAsia" w:ascii="宋体" w:hAnsi="宋体" w:eastAsia="宋体" w:cs="宋体"/>
          <w:sz w:val="28"/>
          <w:szCs w:val="28"/>
        </w:rPr>
      </w:pPr>
      <w:r>
        <w:rPr>
          <w:rFonts w:hint="eastAsia" w:ascii="宋体" w:hAnsi="宋体" w:eastAsia="宋体" w:cs="宋体"/>
          <w:sz w:val="28"/>
          <w:szCs w:val="28"/>
        </w:rPr>
        <w:t>一、部门职责</w:t>
      </w:r>
    </w:p>
    <w:p>
      <w:pPr>
        <w:jc w:val="left"/>
        <w:rPr>
          <w:rFonts w:hint="eastAsia" w:ascii="宋体" w:hAnsi="宋体" w:eastAsia="宋体" w:cs="宋体"/>
          <w:sz w:val="28"/>
          <w:szCs w:val="28"/>
        </w:rPr>
      </w:pPr>
      <w:r>
        <w:rPr>
          <w:rFonts w:hint="eastAsia" w:ascii="宋体" w:hAnsi="宋体" w:eastAsia="宋体" w:cs="宋体"/>
          <w:sz w:val="28"/>
          <w:szCs w:val="28"/>
        </w:rPr>
        <w:t>二、机构设置</w:t>
      </w:r>
    </w:p>
    <w:p>
      <w:pPr>
        <w:jc w:val="left"/>
        <w:rPr>
          <w:rFonts w:hint="eastAsia" w:ascii="宋体" w:hAnsi="宋体" w:eastAsia="宋体" w:cs="宋体"/>
          <w:b/>
          <w:bCs/>
          <w:sz w:val="28"/>
          <w:szCs w:val="28"/>
        </w:rPr>
      </w:pPr>
      <w:r>
        <w:rPr>
          <w:rFonts w:hint="eastAsia" w:ascii="宋体" w:hAnsi="宋体" w:eastAsia="宋体" w:cs="宋体"/>
          <w:b/>
          <w:bCs/>
          <w:sz w:val="28"/>
          <w:szCs w:val="28"/>
        </w:rPr>
        <w:t>第二部分2018年度部门决算表</w:t>
      </w:r>
    </w:p>
    <w:p>
      <w:pPr>
        <w:jc w:val="left"/>
        <w:rPr>
          <w:rFonts w:hint="eastAsia" w:ascii="宋体" w:hAnsi="宋体" w:eastAsia="宋体" w:cs="宋体"/>
          <w:sz w:val="28"/>
          <w:szCs w:val="28"/>
        </w:rPr>
      </w:pPr>
      <w:r>
        <w:rPr>
          <w:rFonts w:hint="eastAsia" w:ascii="宋体" w:hAnsi="宋体" w:eastAsia="宋体" w:cs="宋体"/>
          <w:sz w:val="28"/>
          <w:szCs w:val="28"/>
        </w:rPr>
        <w:t>一、收入支出决算总表</w:t>
      </w:r>
    </w:p>
    <w:p>
      <w:pPr>
        <w:jc w:val="left"/>
        <w:rPr>
          <w:rFonts w:hint="eastAsia" w:ascii="宋体" w:hAnsi="宋体" w:eastAsia="宋体" w:cs="宋体"/>
          <w:sz w:val="28"/>
          <w:szCs w:val="28"/>
        </w:rPr>
      </w:pPr>
      <w:r>
        <w:rPr>
          <w:rFonts w:hint="eastAsia" w:ascii="宋体" w:hAnsi="宋体" w:eastAsia="宋体" w:cs="宋体"/>
          <w:sz w:val="28"/>
          <w:szCs w:val="28"/>
        </w:rPr>
        <w:t>二、收入决算表</w:t>
      </w:r>
    </w:p>
    <w:p>
      <w:pPr>
        <w:jc w:val="left"/>
        <w:rPr>
          <w:rFonts w:hint="eastAsia" w:ascii="宋体" w:hAnsi="宋体" w:eastAsia="宋体" w:cs="宋体"/>
          <w:sz w:val="28"/>
          <w:szCs w:val="28"/>
        </w:rPr>
      </w:pPr>
      <w:r>
        <w:rPr>
          <w:rFonts w:hint="eastAsia" w:ascii="宋体" w:hAnsi="宋体" w:eastAsia="宋体" w:cs="宋体"/>
          <w:sz w:val="28"/>
          <w:szCs w:val="28"/>
        </w:rPr>
        <w:t>三、支出决算表</w:t>
      </w:r>
    </w:p>
    <w:p>
      <w:pPr>
        <w:jc w:val="left"/>
        <w:rPr>
          <w:rFonts w:hint="eastAsia" w:ascii="宋体" w:hAnsi="宋体" w:eastAsia="宋体" w:cs="宋体"/>
          <w:sz w:val="28"/>
          <w:szCs w:val="28"/>
        </w:rPr>
      </w:pPr>
      <w:r>
        <w:rPr>
          <w:rFonts w:hint="eastAsia" w:ascii="宋体" w:hAnsi="宋体" w:eastAsia="宋体" w:cs="宋体"/>
          <w:sz w:val="28"/>
          <w:szCs w:val="28"/>
        </w:rPr>
        <w:t>四、财政拨款收入支出决算总表</w:t>
      </w:r>
    </w:p>
    <w:p>
      <w:pPr>
        <w:jc w:val="left"/>
        <w:rPr>
          <w:rFonts w:hint="eastAsia" w:ascii="宋体" w:hAnsi="宋体" w:eastAsia="宋体" w:cs="宋体"/>
          <w:sz w:val="28"/>
          <w:szCs w:val="28"/>
        </w:rPr>
      </w:pPr>
      <w:r>
        <w:rPr>
          <w:rFonts w:hint="eastAsia" w:ascii="宋体" w:hAnsi="宋体" w:eastAsia="宋体" w:cs="宋体"/>
          <w:sz w:val="28"/>
          <w:szCs w:val="28"/>
        </w:rPr>
        <w:t>五、一般公共预算财政拨款支出决算表</w:t>
      </w:r>
    </w:p>
    <w:p>
      <w:pPr>
        <w:jc w:val="left"/>
        <w:rPr>
          <w:rFonts w:hint="eastAsia" w:ascii="宋体" w:hAnsi="宋体" w:eastAsia="宋体" w:cs="宋体"/>
          <w:sz w:val="28"/>
          <w:szCs w:val="28"/>
        </w:rPr>
      </w:pPr>
      <w:r>
        <w:rPr>
          <w:rFonts w:hint="eastAsia" w:ascii="宋体" w:hAnsi="宋体" w:eastAsia="宋体" w:cs="宋体"/>
          <w:sz w:val="28"/>
          <w:szCs w:val="28"/>
        </w:rPr>
        <w:t>六、一般公共预算财政拨款基本支出决算表</w:t>
      </w:r>
    </w:p>
    <w:p>
      <w:pPr>
        <w:jc w:val="left"/>
        <w:rPr>
          <w:rFonts w:hint="eastAsia" w:ascii="宋体" w:hAnsi="宋体" w:eastAsia="宋体" w:cs="宋体"/>
          <w:sz w:val="28"/>
          <w:szCs w:val="28"/>
        </w:rPr>
      </w:pPr>
      <w:r>
        <w:rPr>
          <w:rFonts w:hint="eastAsia" w:ascii="宋体" w:hAnsi="宋体" w:eastAsia="宋体" w:cs="宋体"/>
          <w:sz w:val="28"/>
          <w:szCs w:val="28"/>
        </w:rPr>
        <w:t>七、一般公共预算财政拨款“三公”经费支出决算表</w:t>
      </w:r>
    </w:p>
    <w:p>
      <w:pPr>
        <w:jc w:val="left"/>
        <w:rPr>
          <w:rFonts w:hint="eastAsia" w:ascii="宋体" w:hAnsi="宋体" w:eastAsia="宋体" w:cs="宋体"/>
          <w:b/>
          <w:bCs/>
          <w:sz w:val="28"/>
          <w:szCs w:val="28"/>
        </w:rPr>
      </w:pPr>
      <w:r>
        <w:rPr>
          <w:rFonts w:hint="eastAsia" w:ascii="宋体" w:hAnsi="宋体" w:eastAsia="宋体" w:cs="宋体"/>
          <w:sz w:val="28"/>
          <w:szCs w:val="28"/>
        </w:rPr>
        <w:t>八、政府性基金预算财政拨款收入支出决算表</w:t>
      </w:r>
    </w:p>
    <w:p>
      <w:pPr>
        <w:jc w:val="left"/>
        <w:rPr>
          <w:rFonts w:hint="eastAsia" w:ascii="宋体" w:hAnsi="宋体" w:eastAsia="宋体" w:cs="宋体"/>
          <w:b/>
          <w:bCs/>
          <w:sz w:val="28"/>
          <w:szCs w:val="28"/>
        </w:rPr>
      </w:pPr>
      <w:r>
        <w:rPr>
          <w:rFonts w:hint="eastAsia" w:ascii="宋体" w:hAnsi="宋体" w:eastAsia="宋体" w:cs="宋体"/>
          <w:b/>
          <w:bCs/>
          <w:sz w:val="28"/>
          <w:szCs w:val="28"/>
        </w:rPr>
        <w:t>第三部分2018年度部门决算情况说明</w:t>
      </w:r>
    </w:p>
    <w:p>
      <w:pPr>
        <w:jc w:val="left"/>
        <w:rPr>
          <w:rFonts w:hint="eastAsia" w:ascii="宋体" w:hAnsi="宋体" w:eastAsia="宋体" w:cs="宋体"/>
          <w:sz w:val="28"/>
          <w:szCs w:val="28"/>
        </w:rPr>
      </w:pPr>
      <w:r>
        <w:rPr>
          <w:rFonts w:hint="eastAsia" w:ascii="宋体" w:hAnsi="宋体" w:eastAsia="宋体" w:cs="宋体"/>
          <w:sz w:val="28"/>
          <w:szCs w:val="28"/>
        </w:rPr>
        <w:t>一、收入支出决算总体情况说明</w:t>
      </w:r>
    </w:p>
    <w:p>
      <w:pPr>
        <w:jc w:val="left"/>
        <w:rPr>
          <w:rFonts w:hint="eastAsia" w:ascii="宋体" w:hAnsi="宋体" w:eastAsia="宋体" w:cs="宋体"/>
          <w:sz w:val="28"/>
          <w:szCs w:val="28"/>
        </w:rPr>
      </w:pPr>
      <w:r>
        <w:rPr>
          <w:rFonts w:hint="eastAsia" w:ascii="宋体" w:hAnsi="宋体" w:eastAsia="宋体" w:cs="宋体"/>
          <w:sz w:val="28"/>
          <w:szCs w:val="28"/>
        </w:rPr>
        <w:t>二、收入决算情况说明</w:t>
      </w:r>
    </w:p>
    <w:p>
      <w:pPr>
        <w:jc w:val="left"/>
        <w:rPr>
          <w:rFonts w:hint="eastAsia" w:ascii="宋体" w:hAnsi="宋体" w:eastAsia="宋体" w:cs="宋体"/>
          <w:sz w:val="28"/>
          <w:szCs w:val="28"/>
        </w:rPr>
      </w:pPr>
      <w:r>
        <w:rPr>
          <w:rFonts w:hint="eastAsia" w:ascii="宋体" w:hAnsi="宋体" w:eastAsia="宋体" w:cs="宋体"/>
          <w:sz w:val="28"/>
          <w:szCs w:val="28"/>
        </w:rPr>
        <w:t>三、支出决算情况说明</w:t>
      </w:r>
    </w:p>
    <w:p>
      <w:pPr>
        <w:jc w:val="left"/>
        <w:rPr>
          <w:rFonts w:hint="eastAsia" w:ascii="宋体" w:hAnsi="宋体" w:cs="宋体"/>
          <w:sz w:val="28"/>
          <w:szCs w:val="28"/>
        </w:rPr>
      </w:pPr>
      <w:r>
        <w:rPr>
          <w:rFonts w:hint="eastAsia" w:ascii="宋体" w:hAnsi="宋体" w:eastAsia="宋体" w:cs="宋体"/>
          <w:sz w:val="28"/>
          <w:szCs w:val="28"/>
        </w:rPr>
        <w:t>四、</w:t>
      </w:r>
      <w:r>
        <w:rPr>
          <w:rFonts w:hint="eastAsia" w:ascii="宋体" w:hAnsi="宋体" w:cs="宋体"/>
          <w:sz w:val="28"/>
          <w:szCs w:val="28"/>
        </w:rPr>
        <w:t>一般公共预算财政拨款“三公”经费支出决算情况说明</w:t>
      </w:r>
    </w:p>
    <w:p>
      <w:pPr>
        <w:jc w:val="left"/>
        <w:rPr>
          <w:rFonts w:hint="eastAsia" w:ascii="宋体" w:hAnsi="宋体" w:cs="宋体"/>
          <w:sz w:val="28"/>
          <w:szCs w:val="28"/>
        </w:rPr>
      </w:pPr>
      <w:r>
        <w:rPr>
          <w:rFonts w:hint="eastAsia" w:ascii="宋体" w:hAnsi="宋体" w:cs="宋体"/>
          <w:sz w:val="28"/>
          <w:szCs w:val="28"/>
        </w:rPr>
        <w:t>五、政府性基金预算</w:t>
      </w:r>
    </w:p>
    <w:p>
      <w:pPr>
        <w:rPr>
          <w:rStyle w:val="9"/>
          <w:sz w:val="28"/>
          <w:szCs w:val="28"/>
        </w:rPr>
      </w:pPr>
      <w:r>
        <w:rPr>
          <w:rFonts w:hint="eastAsia" w:ascii="宋体" w:hAnsi="宋体" w:cs="宋体"/>
          <w:sz w:val="28"/>
          <w:szCs w:val="28"/>
        </w:rPr>
        <w:t>六、2018年政府采购支出决算情况</w:t>
      </w:r>
    </w:p>
    <w:p>
      <w:pPr>
        <w:rPr>
          <w:rFonts w:hint="eastAsia" w:ascii="宋体" w:hAnsi="宋体" w:cs="宋体"/>
          <w:sz w:val="28"/>
          <w:szCs w:val="28"/>
        </w:rPr>
      </w:pPr>
      <w:r>
        <w:rPr>
          <w:rFonts w:hint="eastAsia" w:ascii="宋体" w:hAnsi="宋体" w:cs="宋体"/>
          <w:sz w:val="28"/>
          <w:szCs w:val="28"/>
        </w:rPr>
        <w:t>七、</w:t>
      </w:r>
      <w:r>
        <w:rPr>
          <w:rFonts w:hint="eastAsia" w:ascii="宋体" w:hAnsi="宋体" w:eastAsia="宋体" w:cs="宋体"/>
          <w:sz w:val="28"/>
          <w:szCs w:val="28"/>
        </w:rPr>
        <w:t>2018年国有资产占用情况说明</w:t>
      </w:r>
    </w:p>
    <w:p>
      <w:pPr>
        <w:rPr>
          <w:rFonts w:hint="eastAsia" w:ascii="宋体" w:hAnsi="宋体" w:cs="宋体"/>
          <w:sz w:val="28"/>
          <w:szCs w:val="28"/>
        </w:rPr>
      </w:pPr>
      <w:r>
        <w:rPr>
          <w:rFonts w:hint="eastAsia" w:ascii="宋体" w:hAnsi="宋体" w:cs="宋体"/>
          <w:sz w:val="28"/>
          <w:szCs w:val="28"/>
        </w:rPr>
        <w:t>八、机关运行经费</w:t>
      </w:r>
    </w:p>
    <w:p>
      <w:pPr>
        <w:rPr>
          <w:rFonts w:hint="eastAsia" w:ascii="宋体" w:hAnsi="宋体" w:eastAsia="宋体" w:cs="宋体"/>
          <w:sz w:val="28"/>
          <w:szCs w:val="28"/>
        </w:rPr>
      </w:pPr>
      <w:r>
        <w:rPr>
          <w:rFonts w:hint="eastAsia" w:ascii="宋体" w:hAnsi="宋体" w:cs="宋体"/>
          <w:sz w:val="28"/>
          <w:szCs w:val="28"/>
        </w:rPr>
        <w:t>九、预算绩效情况</w:t>
      </w:r>
    </w:p>
    <w:p>
      <w:pPr>
        <w:rPr>
          <w:rFonts w:hint="eastAsia" w:ascii="宋体" w:hAnsi="宋体" w:cs="宋体"/>
          <w:sz w:val="28"/>
          <w:szCs w:val="28"/>
        </w:rPr>
      </w:pPr>
      <w:r>
        <w:rPr>
          <w:rFonts w:hint="eastAsia" w:ascii="宋体" w:hAnsi="宋体" w:cs="宋体"/>
          <w:sz w:val="28"/>
          <w:szCs w:val="28"/>
        </w:rPr>
        <w:t>十、其他重要事项的情况说明</w:t>
      </w:r>
    </w:p>
    <w:p>
      <w:pPr>
        <w:jc w:val="left"/>
        <w:rPr>
          <w:rFonts w:hint="eastAsia" w:ascii="宋体" w:hAnsi="宋体" w:eastAsia="宋体" w:cs="宋体"/>
          <w:b/>
          <w:bCs/>
          <w:sz w:val="28"/>
          <w:szCs w:val="28"/>
        </w:rPr>
      </w:pPr>
      <w:r>
        <w:rPr>
          <w:rFonts w:hint="eastAsia" w:ascii="宋体" w:hAnsi="宋体" w:eastAsia="宋体" w:cs="宋体"/>
          <w:b/>
          <w:bCs/>
          <w:sz w:val="28"/>
          <w:szCs w:val="28"/>
        </w:rPr>
        <w:t>第四部分名词解释</w:t>
      </w:r>
    </w:p>
    <w:p>
      <w:pPr>
        <w:jc w:val="left"/>
        <w:rPr>
          <w:rFonts w:hint="eastAsia" w:ascii="宋体" w:hAnsi="宋体" w:eastAsia="宋体" w:cs="宋体"/>
          <w:b/>
          <w:bCs/>
          <w:sz w:val="28"/>
          <w:szCs w:val="28"/>
        </w:rPr>
      </w:pPr>
      <w:r>
        <w:rPr>
          <w:rFonts w:hint="eastAsia" w:ascii="宋体" w:hAnsi="宋体" w:eastAsia="宋体" w:cs="宋体"/>
          <w:b/>
          <w:bCs/>
          <w:sz w:val="28"/>
          <w:szCs w:val="28"/>
        </w:rPr>
        <w:t>第五部分附件</w:t>
      </w:r>
    </w:p>
    <w:p>
      <w:pPr>
        <w:widowControl/>
        <w:spacing w:before="15" w:after="15" w:line="540" w:lineRule="atLeast"/>
        <w:ind w:right="16" w:firstLine="797" w:firstLineChars="248"/>
        <w:rPr>
          <w:rFonts w:ascii="仿宋_GB2312" w:hAnsi="仿宋_GB2312" w:eastAsia="仿宋_GB2312" w:cs="仿宋_GB2312"/>
          <w:b/>
          <w:bCs/>
          <w:sz w:val="32"/>
          <w:szCs w:val="32"/>
        </w:rPr>
      </w:pPr>
    </w:p>
    <w:p>
      <w:pPr>
        <w:widowControl/>
        <w:spacing w:before="15" w:after="15" w:line="540" w:lineRule="atLeast"/>
        <w:ind w:right="16" w:firstLine="896" w:firstLineChars="248"/>
        <w:rPr>
          <w:rFonts w:asciiTheme="minorEastAsia" w:hAnsiTheme="minorEastAsia" w:cstheme="majorBidi"/>
          <w:b/>
          <w:bCs/>
          <w:sz w:val="36"/>
          <w:szCs w:val="36"/>
        </w:rPr>
      </w:pPr>
      <w:r>
        <w:rPr>
          <w:rFonts w:hint="eastAsia" w:cs="仿宋_GB2312" w:asciiTheme="minorEastAsia" w:hAnsiTheme="minorEastAsia"/>
          <w:b/>
          <w:bCs/>
          <w:sz w:val="36"/>
          <w:szCs w:val="36"/>
        </w:rPr>
        <w:t>第</w:t>
      </w:r>
      <w:r>
        <w:rPr>
          <w:rStyle w:val="15"/>
          <w:rFonts w:hint="eastAsia" w:asciiTheme="minorEastAsia" w:hAnsiTheme="minorEastAsia"/>
          <w:sz w:val="36"/>
          <w:szCs w:val="36"/>
        </w:rPr>
        <w:t>一部分  单位概况</w:t>
      </w:r>
    </w:p>
    <w:p>
      <w:pPr>
        <w:pStyle w:val="16"/>
        <w:numPr>
          <w:ilvl w:val="0"/>
          <w:numId w:val="1"/>
        </w:numPr>
        <w:ind w:firstLineChars="0"/>
        <w:jc w:val="left"/>
        <w:rPr>
          <w:rStyle w:val="9"/>
          <w:sz w:val="28"/>
          <w:szCs w:val="28"/>
        </w:rPr>
      </w:pPr>
      <w:r>
        <w:rPr>
          <w:rStyle w:val="9"/>
          <w:sz w:val="28"/>
          <w:szCs w:val="28"/>
        </w:rPr>
        <w:t>部门职责</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1.宣传、执行《中华人民共和国红十字</w:t>
      </w:r>
      <w:r>
        <w:rPr>
          <w:rFonts w:hint="eastAsia" w:ascii="宋体" w:hAnsi="宋体" w:eastAsia="宋体" w:cs="Times New Roman"/>
          <w:sz w:val="30"/>
          <w:szCs w:val="30"/>
          <w:lang w:val="en-US" w:eastAsia="zh-CN"/>
        </w:rPr>
        <w:t>会</w:t>
      </w:r>
      <w:r>
        <w:rPr>
          <w:rFonts w:hint="eastAsia" w:ascii="宋体" w:hAnsi="宋体" w:eastAsia="宋体" w:cs="Times New Roman"/>
          <w:sz w:val="30"/>
          <w:szCs w:val="30"/>
        </w:rPr>
        <w:t>法》、《湖南省实施中华人民共和国红十字</w:t>
      </w:r>
      <w:r>
        <w:rPr>
          <w:rFonts w:hint="eastAsia" w:ascii="宋体" w:hAnsi="宋体" w:eastAsia="宋体" w:cs="Times New Roman"/>
          <w:sz w:val="30"/>
          <w:szCs w:val="30"/>
          <w:lang w:val="en-US" w:eastAsia="zh-CN"/>
        </w:rPr>
        <w:t>会</w:t>
      </w:r>
      <w:r>
        <w:rPr>
          <w:rFonts w:hint="eastAsia" w:ascii="宋体" w:hAnsi="宋体" w:eastAsia="宋体" w:cs="Times New Roman"/>
          <w:sz w:val="30"/>
          <w:szCs w:val="30"/>
        </w:rPr>
        <w:t>法办法》等法律法规。</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2.开展卫生救护培训、防病知识的宣传普及工作，组织动员群众参加意外伤害和自然灾害的现场救护。</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3.开展救灾备灾工作，参加兴建和管理救灾备灾设施，在自然灾害和突发事件中开展救护救援和救助，争取国内外组织和个人的捐助，及时向灾区群众和受难者提供急需的人道主义救助。</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4.宣传无偿献血和造</w:t>
      </w:r>
      <w:bookmarkStart w:id="0" w:name="_GoBack"/>
      <w:bookmarkEnd w:id="0"/>
      <w:r>
        <w:rPr>
          <w:rFonts w:hint="eastAsia" w:ascii="宋体" w:hAnsi="宋体" w:eastAsia="宋体" w:cs="Times New Roman"/>
          <w:sz w:val="30"/>
          <w:szCs w:val="30"/>
        </w:rPr>
        <w:t>血干细胞，组织管理器官移植和遗体捐献工作。</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5.负责管理和发展红十字会会员、志愿工作者，组织并开展符合红十字会宗旨的社会服务工作。</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6.依法开展社会募捐活动。</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7.组织红十字青少年开展建设社会主义精神文明和弘扬人道主义的活动。</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8.举办符合红十字会宗旨的社会福利事业和经济实体。</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9.按照国家有关规定开展与国内、境外、国外红十字会的交流与合作。</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10.承办衡南县人民政府委托的其他有关事项。</w:t>
      </w:r>
    </w:p>
    <w:p>
      <w:pPr>
        <w:widowControl/>
        <w:spacing w:line="600" w:lineRule="exact"/>
        <w:rPr>
          <w:rStyle w:val="9"/>
          <w:sz w:val="28"/>
          <w:szCs w:val="28"/>
        </w:rPr>
      </w:pPr>
      <w:r>
        <w:rPr>
          <w:rStyle w:val="9"/>
          <w:rFonts w:hint="eastAsia"/>
          <w:sz w:val="28"/>
          <w:szCs w:val="28"/>
        </w:rPr>
        <w:t>二、机构设置及决算单位构成</w:t>
      </w:r>
    </w:p>
    <w:p>
      <w:pPr>
        <w:spacing w:line="480" w:lineRule="auto"/>
        <w:ind w:left="142" w:right="-1"/>
        <w:rPr>
          <w:rFonts w:ascii="宋体" w:hAnsi="宋体" w:eastAsia="宋体" w:cs="Times New Roman"/>
          <w:sz w:val="30"/>
          <w:szCs w:val="30"/>
        </w:rPr>
      </w:pPr>
      <w:r>
        <w:rPr>
          <w:rFonts w:hint="eastAsia" w:asciiTheme="minorEastAsia" w:hAnsiTheme="minorEastAsia"/>
          <w:bCs/>
          <w:kern w:val="0"/>
          <w:sz w:val="32"/>
          <w:szCs w:val="32"/>
        </w:rPr>
        <w:t>（</w:t>
      </w:r>
      <w:r>
        <w:rPr>
          <w:rFonts w:hint="eastAsia" w:ascii="宋体" w:hAnsi="宋体" w:eastAsia="宋体" w:cs="Times New Roman"/>
          <w:sz w:val="30"/>
          <w:szCs w:val="30"/>
        </w:rPr>
        <w:t>一）内设机构设置。</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衡南县红十字会内设机构包括：</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1.办公室</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2.财务室</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3.赈济救护部</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4.社会服务部四个部门</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机关党组、纪检（监察）机构按有关规定设置。</w:t>
      </w:r>
    </w:p>
    <w:p>
      <w:pPr>
        <w:spacing w:line="480" w:lineRule="auto"/>
        <w:ind w:left="142" w:right="-1"/>
        <w:rPr>
          <w:rFonts w:ascii="宋体" w:hAnsi="宋体" w:eastAsia="宋体" w:cs="Times New Roman"/>
          <w:sz w:val="30"/>
          <w:szCs w:val="30"/>
        </w:rPr>
      </w:pPr>
      <w:r>
        <w:rPr>
          <w:rFonts w:hint="eastAsia" w:ascii="宋体" w:hAnsi="宋体" w:eastAsia="宋体" w:cs="Times New Roman"/>
          <w:sz w:val="30"/>
          <w:szCs w:val="30"/>
        </w:rPr>
        <w:t>（二）决算单位构成。</w:t>
      </w:r>
    </w:p>
    <w:p>
      <w:pPr>
        <w:spacing w:line="480" w:lineRule="auto"/>
        <w:ind w:left="143" w:leftChars="68" w:right="-1" w:firstLine="300" w:firstLineChars="100"/>
        <w:rPr>
          <w:rFonts w:ascii="宋体" w:hAnsi="宋体" w:eastAsia="宋体" w:cs="Times New Roman"/>
          <w:sz w:val="30"/>
          <w:szCs w:val="30"/>
        </w:rPr>
      </w:pPr>
      <w:r>
        <w:rPr>
          <w:rFonts w:hint="eastAsia" w:ascii="宋体" w:hAnsi="宋体" w:eastAsia="宋体" w:cs="Times New Roman"/>
          <w:sz w:val="30"/>
          <w:szCs w:val="30"/>
        </w:rPr>
        <w:t>衡南县红十字会2018</w:t>
      </w:r>
      <w:r>
        <w:rPr>
          <w:rFonts w:ascii="宋体" w:hAnsi="宋体" w:eastAsia="宋体" w:cs="Times New Roman"/>
          <w:sz w:val="30"/>
          <w:szCs w:val="30"/>
        </w:rPr>
        <w:t>年部门决算公开单位构成：</w:t>
      </w:r>
      <w:r>
        <w:rPr>
          <w:rFonts w:hint="eastAsia" w:ascii="宋体" w:hAnsi="宋体" w:eastAsia="宋体" w:cs="Times New Roman"/>
          <w:sz w:val="30"/>
          <w:szCs w:val="30"/>
        </w:rPr>
        <w:t>衡南县红十字会单位只有本级机构</w:t>
      </w:r>
      <w:r>
        <w:rPr>
          <w:rFonts w:ascii="宋体" w:hAnsi="宋体" w:eastAsia="宋体" w:cs="Times New Roman"/>
          <w:sz w:val="30"/>
          <w:szCs w:val="30"/>
        </w:rPr>
        <w:t>，无下属二级机构及其他。</w:t>
      </w:r>
    </w:p>
    <w:p>
      <w:pPr>
        <w:ind w:firstLine="640" w:firstLineChars="200"/>
        <w:rPr>
          <w:rFonts w:ascii="宋体" w:hAnsi="宋体" w:eastAsia="宋体" w:cs="Times New Roman"/>
          <w:bCs/>
          <w:kern w:val="0"/>
          <w:sz w:val="32"/>
          <w:szCs w:val="32"/>
        </w:rPr>
      </w:pPr>
    </w:p>
    <w:p>
      <w:pPr>
        <w:widowControl/>
        <w:numPr>
          <w:ilvl w:val="0"/>
          <w:numId w:val="2"/>
        </w:numPr>
        <w:spacing w:before="15" w:after="15" w:line="540" w:lineRule="atLeast"/>
        <w:ind w:right="16" w:firstLine="896" w:firstLineChars="248"/>
        <w:rPr>
          <w:rFonts w:cs="仿宋_GB2312" w:asciiTheme="minorEastAsia" w:hAnsiTheme="minorEastAsia"/>
          <w:b/>
          <w:bCs/>
          <w:sz w:val="36"/>
          <w:szCs w:val="36"/>
        </w:rPr>
      </w:pPr>
      <w:r>
        <w:rPr>
          <w:rFonts w:hint="eastAsia" w:cs="仿宋_GB2312" w:asciiTheme="minorEastAsia" w:hAnsiTheme="minorEastAsia"/>
          <w:b/>
          <w:bCs/>
          <w:sz w:val="36"/>
          <w:szCs w:val="36"/>
        </w:rPr>
        <w:t>2018年度部门决算表</w:t>
      </w:r>
    </w:p>
    <w:p>
      <w:pPr>
        <w:pStyle w:val="17"/>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部门公示表格详见附件</w:t>
      </w:r>
    </w:p>
    <w:p>
      <w:pPr>
        <w:pStyle w:val="17"/>
        <w:spacing w:line="520" w:lineRule="exact"/>
        <w:ind w:firstLine="700" w:firstLineChars="250"/>
        <w:rPr>
          <w:rFonts w:cs="仿宋_GB2312" w:asciiTheme="minorEastAsia" w:hAnsiTheme="minorEastAsia" w:eastAsiaTheme="minorEastAsia"/>
          <w:sz w:val="28"/>
          <w:szCs w:val="28"/>
        </w:rPr>
      </w:pPr>
    </w:p>
    <w:p>
      <w:pPr>
        <w:pStyle w:val="17"/>
        <w:spacing w:line="520" w:lineRule="exact"/>
        <w:ind w:firstLine="723" w:firstLineChars="200"/>
        <w:rPr>
          <w:rFonts w:cs="仿宋_GB2312" w:asciiTheme="minorEastAsia" w:hAnsiTheme="minorEastAsia" w:eastAsiaTheme="minorEastAsia"/>
          <w:b/>
          <w:bCs/>
          <w:color w:val="auto"/>
          <w:kern w:val="2"/>
          <w:sz w:val="36"/>
          <w:szCs w:val="36"/>
        </w:rPr>
      </w:pPr>
      <w:r>
        <w:rPr>
          <w:rFonts w:hint="eastAsia" w:cs="仿宋_GB2312" w:asciiTheme="minorEastAsia" w:hAnsiTheme="minorEastAsia" w:eastAsiaTheme="minorEastAsia"/>
          <w:b/>
          <w:bCs/>
          <w:color w:val="auto"/>
          <w:kern w:val="2"/>
          <w:sz w:val="36"/>
          <w:szCs w:val="36"/>
        </w:rPr>
        <w:t>第三部分 2018年度部门决算情况说明</w:t>
      </w:r>
    </w:p>
    <w:p>
      <w:pPr>
        <w:ind w:firstLine="275" w:firstLineChars="98"/>
        <w:rPr>
          <w:rStyle w:val="9"/>
          <w:sz w:val="28"/>
          <w:szCs w:val="28"/>
        </w:rPr>
      </w:pPr>
      <w:r>
        <w:rPr>
          <w:rStyle w:val="9"/>
          <w:rFonts w:hint="eastAsia"/>
          <w:sz w:val="28"/>
          <w:szCs w:val="28"/>
        </w:rPr>
        <w:t>一、衡南县红十字会2018年度收入支出决算总体情况说明</w:t>
      </w:r>
    </w:p>
    <w:p>
      <w:pPr>
        <w:spacing w:line="480" w:lineRule="auto"/>
        <w:ind w:left="143" w:leftChars="68" w:right="-1" w:firstLine="480" w:firstLineChars="150"/>
        <w:rPr>
          <w:rFonts w:ascii="宋体" w:hAnsi="宋体" w:eastAsia="宋体" w:cs="Times New Roman"/>
          <w:sz w:val="30"/>
          <w:szCs w:val="30"/>
        </w:rPr>
      </w:pPr>
      <w:r>
        <w:rPr>
          <w:rFonts w:hint="eastAsia" w:asciiTheme="minorEastAsia" w:hAnsiTheme="minorEastAsia"/>
          <w:bCs/>
          <w:sz w:val="32"/>
          <w:szCs w:val="32"/>
        </w:rPr>
        <w:t>2</w:t>
      </w:r>
      <w:r>
        <w:rPr>
          <w:rFonts w:hint="eastAsia" w:ascii="宋体" w:hAnsi="宋体" w:eastAsia="宋体" w:cs="Times New Roman"/>
          <w:sz w:val="30"/>
          <w:szCs w:val="30"/>
        </w:rPr>
        <w:t>018年总收入共153.42万元，</w:t>
      </w:r>
      <w:r>
        <w:rPr>
          <w:rFonts w:ascii="宋体" w:hAnsi="宋体" w:eastAsia="宋体" w:cs="Times New Roman"/>
          <w:sz w:val="30"/>
          <w:szCs w:val="30"/>
        </w:rPr>
        <w:t>无政府性基金预算财政拨款收入</w:t>
      </w:r>
      <w:r>
        <w:rPr>
          <w:rFonts w:hint="eastAsia" w:ascii="宋体" w:hAnsi="宋体" w:eastAsia="宋体" w:cs="Times New Roman"/>
          <w:sz w:val="30"/>
          <w:szCs w:val="30"/>
        </w:rPr>
        <w:t>。其中：财政补助收入134.92万元，上级补助收入0万元、事业收入0万元、其他收入18.50万元。2017年收入共139.54万元，2018年较2017年增长9.9%，主要是其他收入增长。</w:t>
      </w:r>
    </w:p>
    <w:p>
      <w:pPr>
        <w:spacing w:line="480" w:lineRule="auto"/>
        <w:ind w:left="143" w:leftChars="68" w:right="-1" w:firstLine="450" w:firstLineChars="150"/>
        <w:rPr>
          <w:rFonts w:asciiTheme="minorEastAsia" w:hAnsiTheme="minorEastAsia"/>
          <w:bCs/>
          <w:sz w:val="32"/>
          <w:szCs w:val="32"/>
        </w:rPr>
      </w:pPr>
      <w:r>
        <w:rPr>
          <w:rFonts w:hint="eastAsia" w:ascii="宋体" w:hAnsi="宋体" w:eastAsia="宋体" w:cs="Times New Roman"/>
          <w:sz w:val="30"/>
          <w:szCs w:val="30"/>
        </w:rPr>
        <w:t>2018年本年支出共165.57万元。其中工资福利支出69.31万元、商品服务支出20.26万元、对个人和家庭的补助支出76</w:t>
      </w:r>
      <w:r>
        <w:rPr>
          <w:rFonts w:hint="eastAsia" w:asciiTheme="minorEastAsia" w:hAnsiTheme="minorEastAsia"/>
          <w:bCs/>
          <w:sz w:val="32"/>
          <w:szCs w:val="32"/>
        </w:rPr>
        <w:t>万元。年度亏损12.15万元。2017年度支出共139.54万元，</w:t>
      </w:r>
      <w:r>
        <w:rPr>
          <w:rFonts w:hint="eastAsia" w:ascii="宋体" w:hAnsi="宋体" w:eastAsia="宋体" w:cs="Times New Roman"/>
          <w:sz w:val="30"/>
          <w:szCs w:val="30"/>
        </w:rPr>
        <w:t>2018年较2017年增长18.61%，主要是对个人和家庭补助支出救济费、人员工资增长和养老保险政策调整。</w:t>
      </w:r>
    </w:p>
    <w:p>
      <w:pPr>
        <w:ind w:firstLine="275" w:firstLineChars="98"/>
        <w:rPr>
          <w:rStyle w:val="9"/>
          <w:sz w:val="28"/>
          <w:szCs w:val="28"/>
        </w:rPr>
      </w:pPr>
      <w:r>
        <w:rPr>
          <w:rStyle w:val="9"/>
          <w:rFonts w:hint="eastAsia"/>
          <w:sz w:val="28"/>
          <w:szCs w:val="28"/>
        </w:rPr>
        <w:t>二、2018年度收入决算情况说明</w:t>
      </w:r>
    </w:p>
    <w:p>
      <w:pPr>
        <w:spacing w:line="480" w:lineRule="auto"/>
        <w:ind w:left="143" w:leftChars="68" w:right="-1" w:firstLine="298" w:firstLineChars="100"/>
        <w:rPr>
          <w:rFonts w:ascii="宋体" w:hAnsi="宋体" w:eastAsia="宋体" w:cs="Times New Roman"/>
          <w:sz w:val="30"/>
          <w:szCs w:val="30"/>
        </w:rPr>
      </w:pPr>
      <w:r>
        <w:rPr>
          <w:rFonts w:hint="eastAsia" w:ascii="仿宋_GB2312" w:hAnsi="仿宋_GB2312" w:eastAsia="仿宋_GB2312" w:cs="仿宋_GB2312"/>
          <w:spacing w:val="-11"/>
          <w:sz w:val="32"/>
          <w:szCs w:val="32"/>
        </w:rPr>
        <w:t>2</w:t>
      </w:r>
      <w:r>
        <w:rPr>
          <w:rFonts w:hint="eastAsia" w:ascii="宋体" w:hAnsi="宋体" w:eastAsia="宋体" w:cs="Times New Roman"/>
          <w:sz w:val="30"/>
          <w:szCs w:val="30"/>
        </w:rPr>
        <w:t>018年收入决算153..42万元。</w:t>
      </w:r>
    </w:p>
    <w:p>
      <w:pPr>
        <w:spacing w:line="480" w:lineRule="auto"/>
        <w:ind w:left="143" w:leftChars="68" w:right="-1" w:firstLine="150" w:firstLineChars="50"/>
        <w:rPr>
          <w:rFonts w:ascii="宋体" w:hAnsi="宋体" w:eastAsia="宋体" w:cs="Times New Roman"/>
          <w:sz w:val="30"/>
          <w:szCs w:val="30"/>
        </w:rPr>
      </w:pPr>
      <w:r>
        <w:rPr>
          <w:rFonts w:hint="eastAsia" w:ascii="宋体" w:hAnsi="宋体" w:eastAsia="宋体" w:cs="Times New Roman"/>
          <w:sz w:val="30"/>
          <w:szCs w:val="30"/>
        </w:rPr>
        <w:t>（一）一般公共预算财政拨款134.92万元。</w:t>
      </w:r>
    </w:p>
    <w:p>
      <w:pPr>
        <w:spacing w:line="480" w:lineRule="auto"/>
        <w:ind w:left="143" w:leftChars="68" w:right="-1" w:firstLine="450" w:firstLineChars="150"/>
        <w:rPr>
          <w:rFonts w:ascii="宋体" w:hAnsi="宋体" w:eastAsia="宋体" w:cs="Times New Roman"/>
          <w:sz w:val="30"/>
          <w:szCs w:val="30"/>
        </w:rPr>
      </w:pPr>
      <w:r>
        <w:rPr>
          <w:rFonts w:hint="eastAsia" w:ascii="宋体" w:hAnsi="宋体" w:eastAsia="宋体" w:cs="Times New Roman"/>
          <w:sz w:val="30"/>
          <w:szCs w:val="30"/>
        </w:rPr>
        <w:t>1、社会保障和就业76万元，占56.33%。</w:t>
      </w:r>
    </w:p>
    <w:p>
      <w:pPr>
        <w:spacing w:line="480" w:lineRule="auto"/>
        <w:ind w:left="143" w:leftChars="68" w:right="-1" w:firstLine="450" w:firstLineChars="150"/>
        <w:rPr>
          <w:rFonts w:ascii="宋体" w:hAnsi="宋体" w:eastAsia="宋体" w:cs="Times New Roman"/>
          <w:sz w:val="30"/>
          <w:szCs w:val="30"/>
        </w:rPr>
      </w:pPr>
      <w:r>
        <w:rPr>
          <w:rFonts w:hint="eastAsia" w:ascii="宋体" w:hAnsi="宋体" w:eastAsia="宋体" w:cs="Times New Roman"/>
          <w:sz w:val="30"/>
          <w:szCs w:val="30"/>
        </w:rPr>
        <w:t>2、医疗卫生与计划生育49.07万元，占36.37%。</w:t>
      </w:r>
    </w:p>
    <w:p>
      <w:pPr>
        <w:spacing w:line="480" w:lineRule="auto"/>
        <w:ind w:left="143" w:leftChars="68" w:right="-1" w:firstLine="450" w:firstLineChars="150"/>
        <w:rPr>
          <w:rFonts w:ascii="宋体" w:hAnsi="宋体" w:eastAsia="宋体" w:cs="Times New Roman"/>
          <w:sz w:val="30"/>
          <w:szCs w:val="30"/>
        </w:rPr>
      </w:pPr>
      <w:r>
        <w:rPr>
          <w:rFonts w:hint="eastAsia" w:ascii="宋体" w:hAnsi="宋体" w:eastAsia="宋体" w:cs="Times New Roman"/>
          <w:sz w:val="30"/>
          <w:szCs w:val="30"/>
        </w:rPr>
        <w:t>4、住房公积金9.85万元，占7.30%。</w:t>
      </w:r>
    </w:p>
    <w:p>
      <w:pPr>
        <w:spacing w:line="480" w:lineRule="auto"/>
        <w:ind w:right="-1" w:firstLine="300" w:firstLineChars="100"/>
        <w:rPr>
          <w:rFonts w:ascii="宋体" w:hAnsi="宋体" w:eastAsia="宋体" w:cs="Times New Roman"/>
          <w:sz w:val="30"/>
          <w:szCs w:val="30"/>
        </w:rPr>
      </w:pPr>
      <w:r>
        <w:rPr>
          <w:rFonts w:hint="eastAsia" w:ascii="宋体" w:hAnsi="宋体" w:eastAsia="宋体" w:cs="Times New Roman"/>
          <w:sz w:val="30"/>
          <w:szCs w:val="30"/>
        </w:rPr>
        <w:t>(二)其他收入18.5万元。</w:t>
      </w:r>
    </w:p>
    <w:p>
      <w:pPr>
        <w:spacing w:line="480" w:lineRule="auto"/>
        <w:ind w:right="-1" w:firstLine="300" w:firstLineChars="100"/>
        <w:rPr>
          <w:rFonts w:ascii="宋体" w:hAnsi="宋体" w:eastAsia="宋体" w:cs="Times New Roman"/>
          <w:sz w:val="30"/>
          <w:szCs w:val="30"/>
        </w:rPr>
      </w:pPr>
      <w:r>
        <w:rPr>
          <w:rFonts w:hint="eastAsia" w:ascii="宋体" w:hAnsi="宋体" w:eastAsia="宋体" w:cs="Times New Roman"/>
          <w:sz w:val="30"/>
          <w:szCs w:val="30"/>
        </w:rPr>
        <w:t>(三)政府性基金预算财政拨款0万元。</w:t>
      </w:r>
    </w:p>
    <w:p>
      <w:pPr>
        <w:ind w:firstLine="135" w:firstLineChars="48"/>
        <w:rPr>
          <w:rStyle w:val="9"/>
          <w:sz w:val="28"/>
          <w:szCs w:val="28"/>
        </w:rPr>
      </w:pPr>
      <w:r>
        <w:rPr>
          <w:rStyle w:val="9"/>
          <w:rFonts w:hint="eastAsia"/>
          <w:sz w:val="28"/>
          <w:szCs w:val="28"/>
        </w:rPr>
        <w:t>三、2018年度支出决算情况说明</w:t>
      </w:r>
    </w:p>
    <w:p>
      <w:pPr>
        <w:spacing w:line="480" w:lineRule="auto"/>
        <w:ind w:left="143" w:leftChars="68" w:right="-1" w:firstLine="450" w:firstLineChars="150"/>
        <w:rPr>
          <w:rFonts w:ascii="宋体" w:hAnsi="宋体" w:eastAsia="宋体" w:cs="Times New Roman"/>
          <w:sz w:val="30"/>
          <w:szCs w:val="30"/>
        </w:rPr>
      </w:pPr>
      <w:r>
        <w:rPr>
          <w:rFonts w:hint="eastAsia" w:ascii="宋体" w:hAnsi="宋体" w:eastAsia="宋体" w:cs="Times New Roman"/>
          <w:sz w:val="30"/>
          <w:szCs w:val="30"/>
        </w:rPr>
        <w:t>2018年支出决算数165.57万元。其中基本支出决算数为89.57万元，占54.09%。系保障我会机构正常运转，完成日常工作任务而发生的各项支出，包括用于在职人员基本工资，津贴补贴、劳动保险费、遗属人员抚恤费等人员经费，以及办公费、公务接待等公用支出。对个人和家庭补助支出决算数为76万元，占45.91%。系我会开展无偿献血活动及表彰，救灾备灾，救护技能培训，造血干细胞运作，帮困援助、人道救助“三救三献”等工作支出，均为红十字会特殊工作性质，对特定人群开展的工作。</w:t>
      </w:r>
    </w:p>
    <w:p>
      <w:pPr>
        <w:ind w:firstLine="275" w:firstLineChars="98"/>
        <w:rPr>
          <w:rStyle w:val="9"/>
          <w:sz w:val="28"/>
          <w:szCs w:val="28"/>
        </w:rPr>
      </w:pPr>
      <w:r>
        <w:rPr>
          <w:rStyle w:val="9"/>
          <w:rFonts w:hint="eastAsia"/>
          <w:sz w:val="28"/>
          <w:szCs w:val="28"/>
        </w:rPr>
        <w:t>四、2018年度一般公共预算财政拨款“三公”经费支出决算情况说明</w:t>
      </w:r>
    </w:p>
    <w:p>
      <w:pPr>
        <w:spacing w:line="480" w:lineRule="auto"/>
        <w:ind w:left="142" w:right="-1"/>
        <w:rPr>
          <w:rFonts w:ascii="宋体" w:hAnsi="宋体" w:eastAsia="宋体" w:cs="Times New Roman"/>
          <w:sz w:val="30"/>
          <w:szCs w:val="30"/>
        </w:rPr>
      </w:pPr>
      <w:r>
        <w:rPr>
          <w:rFonts w:hint="eastAsia" w:ascii="仿宋_GB2312" w:hAnsi="仿宋_GB2312" w:eastAsia="仿宋_GB2312" w:cs="仿宋_GB2312"/>
          <w:spacing w:val="-11"/>
          <w:sz w:val="32"/>
          <w:szCs w:val="32"/>
        </w:rPr>
        <w:t>2</w:t>
      </w:r>
      <w:r>
        <w:rPr>
          <w:rFonts w:hint="eastAsia" w:ascii="宋体" w:hAnsi="宋体" w:eastAsia="宋体" w:cs="Times New Roman"/>
          <w:sz w:val="30"/>
          <w:szCs w:val="30"/>
        </w:rPr>
        <w:t>018年“三公”经费决算1.09万元，完成预算数72.67%。其中：公务接待费1.09万元。因公务用车已交公车平台，2018年无公务用车运行维护费、因公出国（境）费。相比年初预算数减少0.41万元，下降27.33%。主要原因是坚持厉行节约、规范公务接待管理、压缩开支。2018年国内公务接待共25批次共计312人次，主要是开展无偿献血活动等接待开支。本年度单位没有公务用车，本年车辆保有量为0辆，本年新增车辆数为0辆。</w:t>
      </w:r>
    </w:p>
    <w:p>
      <w:pPr>
        <w:ind w:firstLine="275" w:firstLineChars="98"/>
        <w:rPr>
          <w:rStyle w:val="9"/>
          <w:sz w:val="28"/>
          <w:szCs w:val="28"/>
        </w:rPr>
      </w:pPr>
      <w:r>
        <w:rPr>
          <w:rStyle w:val="9"/>
          <w:rFonts w:hint="eastAsia"/>
          <w:sz w:val="28"/>
          <w:szCs w:val="28"/>
        </w:rPr>
        <w:t>五、2018年度政府性基金预算收入支出决算情况</w:t>
      </w:r>
    </w:p>
    <w:p>
      <w:pPr>
        <w:ind w:firstLine="600" w:firstLineChars="200"/>
        <w:rPr>
          <w:rFonts w:ascii="仿宋_GB2312" w:hAnsi="仿宋_GB2312" w:eastAsia="仿宋_GB2312" w:cs="仿宋_GB2312"/>
          <w:spacing w:val="-11"/>
          <w:sz w:val="32"/>
          <w:szCs w:val="32"/>
        </w:rPr>
      </w:pPr>
      <w:r>
        <w:rPr>
          <w:rFonts w:hint="eastAsia" w:ascii="宋体" w:hAnsi="宋体" w:eastAsia="宋体" w:cs="Times New Roman"/>
          <w:sz w:val="30"/>
          <w:szCs w:val="30"/>
        </w:rPr>
        <w:t>2018年度无政府性基金预算财政拨款及支出。</w:t>
      </w:r>
      <w:r>
        <w:rPr>
          <w:rFonts w:hint="eastAsia" w:asciiTheme="minorEastAsia" w:hAnsiTheme="minorEastAsia"/>
          <w:bCs/>
          <w:sz w:val="32"/>
          <w:szCs w:val="32"/>
        </w:rPr>
        <w:t> </w:t>
      </w:r>
    </w:p>
    <w:p>
      <w:pPr>
        <w:ind w:firstLine="275" w:firstLineChars="98"/>
        <w:rPr>
          <w:rStyle w:val="9"/>
          <w:sz w:val="28"/>
          <w:szCs w:val="28"/>
        </w:rPr>
      </w:pPr>
      <w:r>
        <w:rPr>
          <w:rStyle w:val="9"/>
          <w:rFonts w:hint="eastAsia"/>
          <w:sz w:val="28"/>
          <w:szCs w:val="28"/>
        </w:rPr>
        <w:t>六、2018年政府采购支出决算情况</w:t>
      </w:r>
    </w:p>
    <w:p>
      <w:pPr>
        <w:ind w:firstLine="600" w:firstLineChars="200"/>
        <w:rPr>
          <w:rFonts w:asciiTheme="minorEastAsia" w:hAnsiTheme="minorEastAsia"/>
          <w:bCs/>
          <w:sz w:val="32"/>
          <w:szCs w:val="32"/>
        </w:rPr>
      </w:pPr>
      <w:r>
        <w:rPr>
          <w:rFonts w:hint="eastAsia" w:ascii="宋体" w:hAnsi="宋体" w:eastAsia="宋体" w:cs="Times New Roman"/>
          <w:sz w:val="30"/>
          <w:szCs w:val="30"/>
        </w:rPr>
        <w:t>政府采购支出1.34万元，均执行了政府采购</w:t>
      </w:r>
      <w:r>
        <w:rPr>
          <w:rFonts w:hint="eastAsia" w:asciiTheme="minorEastAsia" w:hAnsiTheme="minorEastAsia"/>
          <w:bCs/>
          <w:sz w:val="32"/>
          <w:szCs w:val="32"/>
        </w:rPr>
        <w:t>。</w:t>
      </w:r>
    </w:p>
    <w:p>
      <w:pPr>
        <w:ind w:firstLine="275" w:firstLineChars="98"/>
        <w:rPr>
          <w:rStyle w:val="9"/>
          <w:sz w:val="28"/>
          <w:szCs w:val="28"/>
        </w:rPr>
      </w:pPr>
      <w:r>
        <w:rPr>
          <w:rStyle w:val="9"/>
          <w:rFonts w:hint="eastAsia"/>
          <w:sz w:val="28"/>
          <w:szCs w:val="28"/>
        </w:rPr>
        <w:t>七、2018年国有资产占用情况说明</w:t>
      </w:r>
    </w:p>
    <w:p>
      <w:pPr>
        <w:ind w:firstLine="600" w:firstLineChars="200"/>
        <w:rPr>
          <w:rFonts w:cs="黑体" w:asciiTheme="minorEastAsia" w:hAnsiTheme="minorEastAsia"/>
          <w:color w:val="000000"/>
          <w:kern w:val="0"/>
          <w:sz w:val="32"/>
          <w:szCs w:val="32"/>
        </w:rPr>
      </w:pPr>
      <w:r>
        <w:rPr>
          <w:rFonts w:hint="eastAsia" w:ascii="宋体" w:hAnsi="宋体" w:eastAsia="宋体" w:cs="Times New Roman"/>
          <w:sz w:val="30"/>
          <w:szCs w:val="30"/>
        </w:rPr>
        <w:t>2018年未固定资产16.32万元，主要是办公设备和办公家具。本年固定资产增加1.34万元系增加办公设备。</w:t>
      </w:r>
      <w:r>
        <w:rPr>
          <w:rFonts w:hint="eastAsia" w:cs="黑体" w:asciiTheme="minorEastAsia" w:hAnsiTheme="minorEastAsia"/>
          <w:color w:val="000000"/>
          <w:kern w:val="0"/>
          <w:sz w:val="32"/>
          <w:szCs w:val="32"/>
        </w:rPr>
        <w:t>本单位共有车辆0辆，单位价值50万元以上通用设备0台（套）；单位价值100万元以上专用设备0台（套）。</w:t>
      </w:r>
    </w:p>
    <w:p>
      <w:pPr>
        <w:ind w:firstLine="275" w:firstLineChars="98"/>
        <w:rPr>
          <w:rFonts w:ascii="宋体" w:hAnsi="宋体" w:eastAsia="宋体" w:cs="Times New Roman"/>
          <w:sz w:val="30"/>
          <w:szCs w:val="30"/>
        </w:rPr>
      </w:pPr>
      <w:r>
        <w:rPr>
          <w:rStyle w:val="9"/>
          <w:rFonts w:hint="eastAsia"/>
          <w:sz w:val="28"/>
          <w:szCs w:val="28"/>
        </w:rPr>
        <w:t>八、机关运行经费</w:t>
      </w:r>
      <w:r>
        <w:rPr>
          <w:rFonts w:hint="eastAsia" w:ascii="宋体" w:hAnsi="宋体" w:eastAsia="宋体" w:cs="Times New Roman"/>
          <w:sz w:val="30"/>
          <w:szCs w:val="30"/>
        </w:rPr>
        <w:t>：2018年商品服务支出20.26万元，占12.23%系保证单位正常运转的支出，包括办公费、印刷费、邮电费、差旅费、会议费、福利费、日常维修费、专用材料及一般设备购置费、办公用房水电费、办公用房取暖费、办公用房物业管理费、其他费用。</w:t>
      </w:r>
    </w:p>
    <w:p>
      <w:pPr>
        <w:ind w:firstLine="354" w:firstLineChars="98"/>
        <w:rPr>
          <w:rStyle w:val="9"/>
          <w:sz w:val="28"/>
          <w:szCs w:val="28"/>
        </w:rPr>
      </w:pPr>
      <w:r>
        <w:rPr>
          <w:rFonts w:hint="eastAsia" w:cs="仿宋_GB2312" w:asciiTheme="minorEastAsia" w:hAnsiTheme="minorEastAsia"/>
          <w:b/>
          <w:bCs/>
          <w:sz w:val="36"/>
          <w:szCs w:val="36"/>
        </w:rPr>
        <w:t>九、</w:t>
      </w:r>
      <w:r>
        <w:rPr>
          <w:rStyle w:val="9"/>
          <w:rFonts w:hint="eastAsia"/>
          <w:sz w:val="28"/>
          <w:szCs w:val="28"/>
        </w:rPr>
        <w:t>预算绩效开展情况说明</w:t>
      </w:r>
    </w:p>
    <w:p>
      <w:pPr>
        <w:spacing w:line="480" w:lineRule="auto"/>
        <w:ind w:left="143" w:leftChars="68" w:right="-1" w:firstLine="160" w:firstLineChars="50"/>
        <w:rPr>
          <w:rFonts w:ascii="宋体" w:hAnsi="宋体" w:eastAsia="宋体" w:cs="Times New Roman"/>
          <w:sz w:val="30"/>
          <w:szCs w:val="30"/>
        </w:rPr>
      </w:pPr>
      <w:r>
        <w:rPr>
          <w:rFonts w:hint="eastAsia" w:asciiTheme="minorEastAsia" w:hAnsiTheme="minorEastAsia"/>
          <w:bCs/>
          <w:kern w:val="0"/>
          <w:sz w:val="32"/>
          <w:szCs w:val="32"/>
        </w:rPr>
        <w:t>（</w:t>
      </w:r>
      <w:r>
        <w:rPr>
          <w:rFonts w:hint="eastAsia" w:ascii="宋体" w:hAnsi="宋体" w:eastAsia="宋体" w:cs="Times New Roman"/>
          <w:sz w:val="30"/>
          <w:szCs w:val="30"/>
        </w:rPr>
        <w:t>一）预算绩效管理开展情况</w:t>
      </w:r>
    </w:p>
    <w:p>
      <w:pPr>
        <w:spacing w:line="480" w:lineRule="auto"/>
        <w:ind w:left="143" w:leftChars="68" w:right="-1" w:firstLine="750" w:firstLineChars="250"/>
        <w:rPr>
          <w:rFonts w:ascii="宋体" w:hAnsi="宋体" w:eastAsia="宋体" w:cs="Times New Roman"/>
          <w:sz w:val="30"/>
          <w:szCs w:val="30"/>
        </w:rPr>
      </w:pPr>
      <w:r>
        <w:rPr>
          <w:rFonts w:hint="eastAsia" w:ascii="宋体" w:hAnsi="宋体" w:eastAsia="宋体" w:cs="Times New Roman"/>
          <w:sz w:val="30"/>
          <w:szCs w:val="30"/>
        </w:rPr>
        <w:t>根据《会计法》、《预算法》等法律和财政部、省财政厅、县财政局有关财务规章的规定，我会也出台了《内部控制手册》，明确了经费审批权限及程序，对经费预算管理、财务经费管理、资产购置与处置、财务监督等方面做出了具体规定。严格预算绩效管理，加强单位内部控制建设，建立内控长效机制，严格财务管理，加强财务监督。进一步落实了厉行节约的各项规定，确保了“三公经费”管理使用合理合规。</w:t>
      </w:r>
    </w:p>
    <w:p>
      <w:pPr>
        <w:spacing w:line="480" w:lineRule="auto"/>
        <w:ind w:left="142" w:right="-1"/>
        <w:rPr>
          <w:rFonts w:ascii="宋体" w:hAnsi="宋体" w:eastAsia="宋体" w:cs="Times New Roman"/>
          <w:sz w:val="30"/>
          <w:szCs w:val="30"/>
        </w:rPr>
      </w:pPr>
      <w:r>
        <w:rPr>
          <w:rFonts w:hint="eastAsia" w:ascii="宋体" w:hAnsi="宋体" w:eastAsia="宋体" w:cs="Times New Roman"/>
          <w:sz w:val="30"/>
          <w:szCs w:val="30"/>
        </w:rPr>
        <w:t>（二）绩效目标和绩效评价报告</w:t>
      </w:r>
    </w:p>
    <w:p>
      <w:pPr>
        <w:spacing w:line="480" w:lineRule="auto"/>
        <w:ind w:left="143" w:leftChars="68" w:right="-1" w:firstLine="750" w:firstLineChars="250"/>
        <w:rPr>
          <w:rFonts w:ascii="宋体" w:hAnsi="宋体" w:eastAsia="宋体" w:cs="Times New Roman"/>
          <w:sz w:val="30"/>
          <w:szCs w:val="30"/>
        </w:rPr>
      </w:pPr>
      <w:r>
        <w:rPr>
          <w:rFonts w:hint="eastAsia" w:ascii="宋体" w:hAnsi="宋体" w:eastAsia="宋体" w:cs="Times New Roman"/>
          <w:sz w:val="30"/>
          <w:szCs w:val="30"/>
        </w:rPr>
        <w:t>2018年，红十字会以迎接十九大、学习贯彻党的十九大精神为首要政治任务，坚持以人民为中心，坚持五大发展理念，倾力把云集打造成“衡阳市后花园”的目标，主动创新作为，提高审批效率，为部门提供规划支持，服务城乡建设，从经济效益来说，严格控制运行成本，保障了机关的正常运转。从社会效益来说，规范整个县域城镇规划，确保各项规划工作有序进行。深入基层倾听民声、察民情，切实把规划做到前瞻和可执行，提高规划实施质量和效率，提高社会公众或服务对象满意度。为全县经济社会发展作出了积极贡献。为加强财政支出管理，提高财政资金使用效益，我会于2018年4-5月对2018年部门整体支出进行了绩效评价，形成了绩效评价报告，已按时报送县财政局，并在县门户网站予以公开。</w:t>
      </w:r>
    </w:p>
    <w:p>
      <w:pPr>
        <w:spacing w:line="480" w:lineRule="auto"/>
        <w:ind w:left="142" w:right="-1"/>
        <w:rPr>
          <w:rFonts w:ascii="宋体" w:hAnsi="宋体" w:eastAsia="宋体" w:cs="Times New Roman"/>
          <w:sz w:val="30"/>
          <w:szCs w:val="30"/>
        </w:rPr>
      </w:pPr>
      <w:r>
        <w:rPr>
          <w:rFonts w:hint="eastAsia" w:ascii="宋体" w:hAnsi="宋体" w:eastAsia="宋体" w:cs="Times New Roman"/>
          <w:sz w:val="30"/>
          <w:szCs w:val="30"/>
        </w:rPr>
        <w:t>（三）重点绩效评价结果等预算绩效评价说明</w:t>
      </w:r>
    </w:p>
    <w:p>
      <w:pPr>
        <w:spacing w:line="480" w:lineRule="auto"/>
        <w:ind w:left="143" w:leftChars="68" w:right="-1" w:firstLine="750" w:firstLineChars="250"/>
        <w:rPr>
          <w:rFonts w:ascii="宋体" w:hAnsi="宋体" w:eastAsia="宋体" w:cs="Times New Roman"/>
          <w:sz w:val="30"/>
          <w:szCs w:val="30"/>
        </w:rPr>
      </w:pPr>
      <w:r>
        <w:rPr>
          <w:rFonts w:hint="eastAsia" w:ascii="宋体" w:hAnsi="宋体" w:eastAsia="宋体" w:cs="Times New Roman"/>
          <w:sz w:val="30"/>
          <w:szCs w:val="30"/>
        </w:rPr>
        <w:t>2018年，根据我会年初工作规划和重点性工作，围绕红十字会中心工作，积极履职，强化管理，通过加强预算收支的管理，不断建立健全内部管理制度，理顺内部管理流程，部门整体支出管理情况得到了提升，较好的完成了各项目标任务。并对基本支出及专项支出进行评价得分95分。无偿献血活动及表彰，救灾备灾工作，救护技能培训，造血干细胞运作，帮困援助、人道救助等“三救三献”工作均为红十字会特殊工作性质，对特定人群开展的工作。</w:t>
      </w:r>
    </w:p>
    <w:p>
      <w:pPr>
        <w:jc w:val="left"/>
        <w:rPr>
          <w:rFonts w:hint="eastAsia" w:ascii="宋体" w:hAnsi="宋体" w:eastAsia="宋体" w:cs="宋体"/>
          <w:b/>
          <w:bCs/>
          <w:sz w:val="28"/>
          <w:szCs w:val="28"/>
        </w:rPr>
      </w:pPr>
    </w:p>
    <w:p>
      <w:pPr>
        <w:jc w:val="left"/>
        <w:rPr>
          <w:rFonts w:hint="eastAsia" w:ascii="宋体" w:hAnsi="宋体" w:eastAsia="宋体" w:cs="宋体"/>
          <w:b/>
          <w:bCs/>
          <w:sz w:val="28"/>
          <w:szCs w:val="28"/>
        </w:rPr>
      </w:pPr>
      <w:r>
        <w:rPr>
          <w:rFonts w:hint="eastAsia" w:ascii="宋体" w:hAnsi="宋体" w:eastAsia="宋体" w:cs="宋体"/>
          <w:b/>
          <w:bCs/>
          <w:sz w:val="28"/>
          <w:szCs w:val="28"/>
        </w:rPr>
        <w:t>第四部分名词解释</w:t>
      </w:r>
    </w:p>
    <w:p>
      <w:pPr>
        <w:pStyle w:val="5"/>
        <w:spacing w:line="360" w:lineRule="auto"/>
        <w:ind w:firstLine="600" w:firstLineChars="200"/>
        <w:rPr>
          <w:rFonts w:asciiTheme="minorEastAsia" w:hAnsiTheme="minorEastAsia" w:cstheme="minorBidi"/>
          <w:bCs/>
          <w:sz w:val="32"/>
          <w:szCs w:val="32"/>
        </w:rPr>
      </w:pPr>
      <w:r>
        <w:rPr>
          <w:rFonts w:hint="eastAsia" w:ascii="宋体" w:hAnsi="宋体" w:eastAsia="宋体"/>
          <w:kern w:val="2"/>
          <w:sz w:val="30"/>
          <w:szCs w:val="30"/>
        </w:rPr>
        <w:t>一、财政拨款收入：指财政当年拨付的资金。</w:t>
      </w:r>
    </w:p>
    <w:p>
      <w:pPr>
        <w:spacing w:line="480" w:lineRule="auto"/>
        <w:ind w:left="143" w:leftChars="68" w:right="-1" w:firstLine="450" w:firstLineChars="150"/>
        <w:rPr>
          <w:rFonts w:ascii="宋体" w:hAnsi="宋体" w:eastAsia="宋体" w:cs="Times New Roman"/>
          <w:sz w:val="30"/>
          <w:szCs w:val="30"/>
        </w:rPr>
      </w:pPr>
      <w:r>
        <w:rPr>
          <w:rFonts w:hint="eastAsia" w:ascii="宋体" w:hAnsi="宋体" w:eastAsia="宋体" w:cs="Times New Roman"/>
          <w:sz w:val="30"/>
          <w:szCs w:val="30"/>
        </w:rPr>
        <w:t>二、年初结转和结余：指以前年度尚未完成、结转到本年按有关规定继续使用的资金。</w:t>
      </w:r>
    </w:p>
    <w:p>
      <w:pPr>
        <w:spacing w:line="480" w:lineRule="auto"/>
        <w:ind w:left="143" w:leftChars="68" w:right="-1" w:firstLine="600" w:firstLineChars="200"/>
        <w:rPr>
          <w:rFonts w:ascii="宋体" w:hAnsi="宋体" w:eastAsia="宋体" w:cs="Times New Roman"/>
          <w:sz w:val="30"/>
          <w:szCs w:val="30"/>
        </w:rPr>
      </w:pPr>
      <w:r>
        <w:rPr>
          <w:rFonts w:hint="eastAsia" w:ascii="宋体" w:hAnsi="宋体" w:eastAsia="宋体" w:cs="Times New Roman"/>
          <w:sz w:val="30"/>
          <w:szCs w:val="30"/>
        </w:rPr>
        <w:t>三、年末结转和结余：指本年度或以前年度预算安排、因客观条件发生变化无法按计划实施，需要延迟到以后年度按有关规定继续使用的资金。</w:t>
      </w:r>
    </w:p>
    <w:p>
      <w:pPr>
        <w:spacing w:line="480" w:lineRule="auto"/>
        <w:ind w:left="143" w:leftChars="68" w:right="-1" w:firstLine="450" w:firstLineChars="150"/>
        <w:rPr>
          <w:rFonts w:ascii="宋体" w:hAnsi="宋体" w:eastAsia="宋体" w:cs="Times New Roman"/>
          <w:sz w:val="30"/>
          <w:szCs w:val="30"/>
        </w:rPr>
      </w:pPr>
      <w:r>
        <w:rPr>
          <w:rFonts w:hint="eastAsia" w:ascii="宋体" w:hAnsi="宋体" w:eastAsia="宋体" w:cs="Times New Roman"/>
          <w:sz w:val="30"/>
          <w:szCs w:val="30"/>
        </w:rPr>
        <w:t>四、基本支出：指为保障机构正常运转、完成日常工作任务而发生的人员支出和公用支出。</w:t>
      </w:r>
    </w:p>
    <w:p>
      <w:pPr>
        <w:spacing w:line="480" w:lineRule="auto"/>
        <w:ind w:left="143" w:leftChars="68" w:right="-1" w:firstLine="450" w:firstLineChars="150"/>
        <w:rPr>
          <w:rFonts w:ascii="宋体" w:hAnsi="宋体" w:eastAsia="宋体" w:cs="Times New Roman"/>
          <w:sz w:val="30"/>
          <w:szCs w:val="30"/>
        </w:rPr>
      </w:pPr>
      <w:r>
        <w:rPr>
          <w:rFonts w:hint="eastAsia" w:ascii="宋体" w:hAnsi="宋体" w:eastAsia="宋体" w:cs="Times New Roman"/>
          <w:sz w:val="30"/>
          <w:szCs w:val="30"/>
        </w:rPr>
        <w:t>五、项目支出：指在基本支出之外为完成特定行政任务和事业发展目标所发生的支出。</w:t>
      </w:r>
    </w:p>
    <w:p>
      <w:pPr>
        <w:spacing w:line="480" w:lineRule="auto"/>
        <w:ind w:left="143" w:leftChars="68" w:right="-1" w:firstLine="450" w:firstLineChars="150"/>
        <w:rPr>
          <w:rFonts w:ascii="宋体" w:hAnsi="宋体" w:eastAsia="宋体" w:cs="Times New Roman"/>
          <w:sz w:val="30"/>
          <w:szCs w:val="30"/>
        </w:rPr>
      </w:pPr>
      <w:r>
        <w:rPr>
          <w:rFonts w:hint="eastAsia" w:ascii="宋体" w:hAnsi="宋体" w:eastAsia="宋体" w:cs="Times New Roman"/>
          <w:sz w:val="30"/>
          <w:szCs w:val="30"/>
        </w:rPr>
        <w:t>六、“三公”经费：指财政拨款安排的因公出国（境）、公务用车购置及运行费和公务接待费。</w:t>
      </w:r>
    </w:p>
    <w:p>
      <w:pPr>
        <w:spacing w:line="480" w:lineRule="auto"/>
        <w:ind w:left="143" w:leftChars="68" w:right="-1" w:firstLine="450" w:firstLineChars="150"/>
        <w:rPr>
          <w:rFonts w:ascii="宋体" w:hAnsi="宋体" w:eastAsia="宋体" w:cs="Times New Roman"/>
          <w:sz w:val="30"/>
          <w:szCs w:val="30"/>
        </w:rPr>
      </w:pPr>
      <w:r>
        <w:rPr>
          <w:rFonts w:hint="eastAsia" w:ascii="宋体" w:hAnsi="宋体" w:eastAsia="宋体" w:cs="Times New Roman"/>
          <w:sz w:val="30"/>
          <w:szCs w:val="30"/>
        </w:rPr>
        <w:t>七、机关运行经费：为保障行政单位运行用于购买货物和服务的各项资金，包括办公费、印刷费、邮电费、差旅费、会议费、福利费、日常维修费、专用材料及一般设备购置费、办公用房水电费、办公用房取暖费、办公用房物业管理费、公务用车购置运行费以及其他费用。</w:t>
      </w:r>
    </w:p>
    <w:p>
      <w:pPr>
        <w:jc w:val="left"/>
        <w:rPr>
          <w:rFonts w:hint="eastAsia" w:ascii="宋体" w:hAnsi="宋体" w:eastAsia="宋体" w:cs="宋体"/>
          <w:b/>
          <w:bCs/>
          <w:sz w:val="28"/>
          <w:szCs w:val="28"/>
        </w:rPr>
      </w:pPr>
    </w:p>
    <w:p>
      <w:pPr>
        <w:jc w:val="left"/>
        <w:rPr>
          <w:rFonts w:hint="eastAsia" w:ascii="宋体" w:hAnsi="宋体" w:eastAsia="宋体" w:cs="宋体"/>
          <w:b/>
          <w:bCs/>
          <w:sz w:val="28"/>
          <w:szCs w:val="28"/>
        </w:rPr>
      </w:pPr>
    </w:p>
    <w:p>
      <w:pPr>
        <w:jc w:val="left"/>
        <w:rPr>
          <w:rFonts w:hint="eastAsia" w:ascii="宋体" w:hAnsi="宋体" w:eastAsia="宋体" w:cs="宋体"/>
          <w:b/>
          <w:bCs/>
          <w:sz w:val="28"/>
          <w:szCs w:val="28"/>
        </w:rPr>
      </w:pPr>
      <w:r>
        <w:rPr>
          <w:rFonts w:hint="eastAsia" w:ascii="宋体" w:hAnsi="宋体" w:eastAsia="宋体" w:cs="宋体"/>
          <w:b/>
          <w:bCs/>
          <w:sz w:val="28"/>
          <w:szCs w:val="28"/>
        </w:rPr>
        <w:t>第五部分附件</w:t>
      </w:r>
    </w:p>
    <w:p>
      <w:pPr>
        <w:spacing w:line="480" w:lineRule="auto"/>
        <w:ind w:right="-1"/>
        <w:rPr>
          <w:rFonts w:ascii="宋体" w:hAnsi="宋体" w:eastAsia="宋体" w:cs="Times New Roman"/>
          <w:sz w:val="30"/>
          <w:szCs w:val="30"/>
        </w:rPr>
      </w:pPr>
      <w:r>
        <w:rPr>
          <w:rFonts w:ascii="宋体" w:hAnsi="宋体" w:eastAsia="宋体" w:cs="Times New Roman"/>
          <w:sz w:val="30"/>
          <w:szCs w:val="30"/>
        </w:rPr>
        <w:t>衡南县红十字会</w:t>
      </w:r>
      <w:r>
        <w:rPr>
          <w:rFonts w:hint="eastAsia" w:ascii="宋体" w:hAnsi="宋体" w:eastAsia="宋体" w:cs="Times New Roman"/>
          <w:sz w:val="30"/>
          <w:szCs w:val="30"/>
        </w:rPr>
        <w:t>2018年决算公开表（8张表）</w:t>
      </w:r>
    </w:p>
    <w:p>
      <w:pPr>
        <w:spacing w:line="480" w:lineRule="auto"/>
        <w:ind w:left="143" w:leftChars="68" w:right="-1" w:firstLine="450" w:firstLineChars="150"/>
        <w:rPr>
          <w:rFonts w:ascii="宋体" w:hAnsi="宋体" w:eastAsia="宋体" w:cs="Times New Roman"/>
          <w:sz w:val="30"/>
          <w:szCs w:val="30"/>
        </w:rPr>
      </w:pPr>
    </w:p>
    <w:p>
      <w:pPr>
        <w:spacing w:line="480" w:lineRule="auto"/>
        <w:ind w:left="142" w:right="-1"/>
        <w:rPr>
          <w:rFonts w:ascii="宋体" w:hAnsi="宋体" w:eastAsia="宋体"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abstractNum w:abstractNumId="1">
    <w:nsid w:val="37B77CC6"/>
    <w:multiLevelType w:val="singleLevel"/>
    <w:tmpl w:val="37B77CC6"/>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C5A45"/>
    <w:rsid w:val="000011D7"/>
    <w:rsid w:val="00002DC0"/>
    <w:rsid w:val="00003B50"/>
    <w:rsid w:val="00033D95"/>
    <w:rsid w:val="00037E0D"/>
    <w:rsid w:val="00041701"/>
    <w:rsid w:val="000A67B1"/>
    <w:rsid w:val="000B76F9"/>
    <w:rsid w:val="00113B8B"/>
    <w:rsid w:val="001349EE"/>
    <w:rsid w:val="00184A07"/>
    <w:rsid w:val="001A5482"/>
    <w:rsid w:val="0022495D"/>
    <w:rsid w:val="00314581"/>
    <w:rsid w:val="003F207D"/>
    <w:rsid w:val="0041126B"/>
    <w:rsid w:val="00412AB0"/>
    <w:rsid w:val="004800E6"/>
    <w:rsid w:val="00496A88"/>
    <w:rsid w:val="004A471E"/>
    <w:rsid w:val="004D3E24"/>
    <w:rsid w:val="00523159"/>
    <w:rsid w:val="005F5EFD"/>
    <w:rsid w:val="00605222"/>
    <w:rsid w:val="00614392"/>
    <w:rsid w:val="00644619"/>
    <w:rsid w:val="00670CD6"/>
    <w:rsid w:val="006824E2"/>
    <w:rsid w:val="006A1CCF"/>
    <w:rsid w:val="006F3392"/>
    <w:rsid w:val="00711ECC"/>
    <w:rsid w:val="00742232"/>
    <w:rsid w:val="00744BF9"/>
    <w:rsid w:val="007754A8"/>
    <w:rsid w:val="007757CC"/>
    <w:rsid w:val="007D4D2A"/>
    <w:rsid w:val="007D6063"/>
    <w:rsid w:val="007E280E"/>
    <w:rsid w:val="00800CB9"/>
    <w:rsid w:val="0083306C"/>
    <w:rsid w:val="0088220B"/>
    <w:rsid w:val="00892107"/>
    <w:rsid w:val="00906AA3"/>
    <w:rsid w:val="009A131F"/>
    <w:rsid w:val="009B0587"/>
    <w:rsid w:val="009B60DA"/>
    <w:rsid w:val="009C4C9D"/>
    <w:rsid w:val="00A171A8"/>
    <w:rsid w:val="00A54446"/>
    <w:rsid w:val="00AA0EAF"/>
    <w:rsid w:val="00AA45C2"/>
    <w:rsid w:val="00AA5F0B"/>
    <w:rsid w:val="00B00C57"/>
    <w:rsid w:val="00B42FE5"/>
    <w:rsid w:val="00B45D99"/>
    <w:rsid w:val="00B93BA2"/>
    <w:rsid w:val="00B97A69"/>
    <w:rsid w:val="00BC1BDE"/>
    <w:rsid w:val="00BE4442"/>
    <w:rsid w:val="00BF4200"/>
    <w:rsid w:val="00C04C31"/>
    <w:rsid w:val="00C06887"/>
    <w:rsid w:val="00C76A84"/>
    <w:rsid w:val="00C95DD8"/>
    <w:rsid w:val="00C96974"/>
    <w:rsid w:val="00CA17E1"/>
    <w:rsid w:val="00CC5A45"/>
    <w:rsid w:val="00CD5B99"/>
    <w:rsid w:val="00CF1A55"/>
    <w:rsid w:val="00D03545"/>
    <w:rsid w:val="00D45F13"/>
    <w:rsid w:val="00DB4EB7"/>
    <w:rsid w:val="00DD7136"/>
    <w:rsid w:val="00E52919"/>
    <w:rsid w:val="00E90417"/>
    <w:rsid w:val="00E9131B"/>
    <w:rsid w:val="00E91CB5"/>
    <w:rsid w:val="00EF1ACD"/>
    <w:rsid w:val="00F17224"/>
    <w:rsid w:val="00F27DDC"/>
    <w:rsid w:val="00F30964"/>
    <w:rsid w:val="00F52710"/>
    <w:rsid w:val="00F5492D"/>
    <w:rsid w:val="00F7056B"/>
    <w:rsid w:val="00F83C73"/>
    <w:rsid w:val="047046F5"/>
    <w:rsid w:val="145D0E83"/>
    <w:rsid w:val="1E827917"/>
    <w:rsid w:val="1F904D31"/>
    <w:rsid w:val="3EE07EB4"/>
    <w:rsid w:val="49A91309"/>
    <w:rsid w:val="4CE27F7B"/>
    <w:rsid w:val="56C90DB2"/>
    <w:rsid w:val="58D3226F"/>
    <w:rsid w:val="72365CF9"/>
    <w:rsid w:val="77A906DC"/>
    <w:rsid w:val="7FF716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paragraph" w:styleId="6">
    <w:name w:val="Title"/>
    <w:basedOn w:val="1"/>
    <w:next w:val="1"/>
    <w:link w:val="15"/>
    <w:qFormat/>
    <w:uiPriority w:val="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_Style 6"/>
    <w:basedOn w:val="1"/>
    <w:next w:val="1"/>
    <w:qFormat/>
    <w:uiPriority w:val="0"/>
    <w:pPr>
      <w:pBdr>
        <w:bottom w:val="single" w:color="auto" w:sz="6" w:space="1"/>
      </w:pBdr>
      <w:jc w:val="center"/>
    </w:pPr>
    <w:rPr>
      <w:rFonts w:ascii="Arial" w:eastAsia="宋体"/>
      <w:vanish/>
      <w:sz w:val="16"/>
    </w:rPr>
  </w:style>
  <w:style w:type="paragraph" w:customStyle="1" w:styleId="12">
    <w:name w:val="_Style 7"/>
    <w:basedOn w:val="1"/>
    <w:next w:val="1"/>
    <w:qFormat/>
    <w:uiPriority w:val="0"/>
    <w:pPr>
      <w:pBdr>
        <w:top w:val="single" w:color="auto" w:sz="6" w:space="1"/>
      </w:pBdr>
      <w:jc w:val="center"/>
    </w:pPr>
    <w:rPr>
      <w:rFonts w:ascii="Arial" w:eastAsia="宋体"/>
      <w:vanish/>
      <w:sz w:val="16"/>
    </w:rPr>
  </w:style>
  <w:style w:type="character" w:customStyle="1" w:styleId="13">
    <w:name w:val="页眉 Char"/>
    <w:basedOn w:val="8"/>
    <w:link w:val="4"/>
    <w:qFormat/>
    <w:uiPriority w:val="0"/>
    <w:rPr>
      <w:rFonts w:asciiTheme="minorHAnsi" w:hAnsiTheme="minorHAnsi" w:eastAsiaTheme="minorEastAsia" w:cstheme="minorBidi"/>
      <w:kern w:val="2"/>
      <w:sz w:val="18"/>
      <w:szCs w:val="18"/>
    </w:rPr>
  </w:style>
  <w:style w:type="character" w:customStyle="1" w:styleId="14">
    <w:name w:val="页脚 Char"/>
    <w:basedOn w:val="8"/>
    <w:link w:val="3"/>
    <w:qFormat/>
    <w:uiPriority w:val="0"/>
    <w:rPr>
      <w:rFonts w:asciiTheme="minorHAnsi" w:hAnsiTheme="minorHAnsi" w:eastAsiaTheme="minorEastAsia" w:cstheme="minorBidi"/>
      <w:kern w:val="2"/>
      <w:sz w:val="18"/>
      <w:szCs w:val="18"/>
    </w:rPr>
  </w:style>
  <w:style w:type="character" w:customStyle="1" w:styleId="15">
    <w:name w:val="标题 Char"/>
    <w:basedOn w:val="8"/>
    <w:link w:val="6"/>
    <w:qFormat/>
    <w:uiPriority w:val="0"/>
    <w:rPr>
      <w:rFonts w:asciiTheme="majorHAnsi" w:hAnsiTheme="majorHAnsi" w:cstheme="majorBidi"/>
      <w:b/>
      <w:bCs/>
      <w:kern w:val="2"/>
      <w:sz w:val="32"/>
      <w:szCs w:val="32"/>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A996B-586E-4319-9DB3-801A8B9797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3083</Words>
  <Characters>374</Characters>
  <Lines>3</Lines>
  <Paragraphs>6</Paragraphs>
  <TotalTime>6</TotalTime>
  <ScaleCrop>false</ScaleCrop>
  <LinksUpToDate>false</LinksUpToDate>
  <CharactersWithSpaces>3451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2019-03-12T06:39:00Z</dcterms:created>
  <dc:creator>Administrator</dc:creator>
  <cp:lastModifiedBy>茜茜</cp:lastModifiedBy>
  <cp:lastPrinted>2019-03-07T06:10:00Z</cp:lastPrinted>
  <dcterms:modified xsi:type="dcterms:W3CDTF">2022-09-05T01:48:47Z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9C5D8D49717D4BFE9243825A3C73300C</vt:lpwstr>
  </property>
</Properties>
</file>