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衡南县部门整体支出绩效自评报告</w:t>
      </w:r>
    </w:p>
    <w:p/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 2022年度 ）</w:t>
      </w:r>
    </w:p>
    <w:p/>
    <w:p/>
    <w:p/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部门(单位)名称：衡南县水文水资源局  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预算编码：         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评价方式：部门（单位）自评☑  </w:t>
      </w:r>
    </w:p>
    <w:p>
      <w:pPr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中介机构评价□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评价机构：部门（单位）评价组☑</w:t>
      </w:r>
    </w:p>
    <w:p>
      <w:pPr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中介机构□</w:t>
      </w:r>
    </w:p>
    <w:p/>
    <w:p/>
    <w:p/>
    <w:p/>
    <w:p/>
    <w:p/>
    <w:p/>
    <w:p/>
    <w:p/>
    <w:p/>
    <w:p/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报告日期：   2022 年 04 月 25日</w:t>
      </w:r>
    </w:p>
    <w:p/>
    <w:p/>
    <w:p/>
    <w:p/>
    <w:p/>
    <w:p/>
    <w:p/>
    <w:p/>
    <w:p/>
    <w:p>
      <w:pPr>
        <w:widowControl/>
        <w:spacing w:line="315" w:lineRule="atLeast"/>
        <w:rPr>
          <w:rFonts w:ascii="宋体" w:hAnsi="宋体"/>
        </w:rPr>
      </w:pPr>
    </w:p>
    <w:p>
      <w:pPr>
        <w:widowControl/>
        <w:spacing w:line="540" w:lineRule="atLeast"/>
        <w:jc w:val="center"/>
        <w:rPr>
          <w:rFonts w:ascii="仿宋" w:hAnsi="仿宋" w:eastAsia="仿宋" w:cs="仿宋"/>
          <w:b/>
          <w:bCs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  <w:t>衡南县水文水资源局202</w:t>
      </w:r>
      <w:r>
        <w:rPr>
          <w:rFonts w:ascii="仿宋" w:hAnsi="仿宋" w:eastAsia="仿宋" w:cs="仿宋"/>
          <w:b/>
          <w:bCs/>
          <w:color w:val="000000"/>
          <w:kern w:val="0"/>
          <w:sz w:val="44"/>
          <w:szCs w:val="44"/>
        </w:rPr>
        <w:t>2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  <w:t>年部门整体支出绩效自评报告</w:t>
      </w:r>
    </w:p>
    <w:p>
      <w:pPr>
        <w:pStyle w:val="2"/>
      </w:pPr>
    </w:p>
    <w:p>
      <w:pPr>
        <w:ind w:firstLine="600" w:firstLineChars="200"/>
        <w:jc w:val="left"/>
        <w:rPr>
          <w:rFonts w:asciiTheme="minorEastAsia" w:hAnsiTheme="minorEastAsia" w:eastAsiaTheme="minorEastAsia" w:cstheme="minorEastAsia"/>
          <w:color w:val="000000"/>
          <w:kern w:val="0"/>
          <w:sz w:val="30"/>
          <w:szCs w:val="30"/>
        </w:rPr>
      </w:pPr>
    </w:p>
    <w:p>
      <w:pPr>
        <w:ind w:firstLine="592" w:firstLineChars="200"/>
        <w:jc w:val="left"/>
        <w:rPr>
          <w:rFonts w:asciiTheme="minorEastAsia" w:hAnsiTheme="minorEastAsia" w:eastAsiaTheme="minorEastAsia" w:cstheme="minorEastAsia"/>
          <w:color w:val="333333"/>
          <w:spacing w:val="-2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pacing w:val="-2"/>
          <w:sz w:val="30"/>
          <w:szCs w:val="30"/>
        </w:rPr>
        <w:t>为加强财政预算资金管理，进一步规范预算资金使用，提高财政资金使用效益，根据要求，我局对202</w:t>
      </w:r>
      <w:r>
        <w:rPr>
          <w:rFonts w:asciiTheme="minorEastAsia" w:hAnsiTheme="minorEastAsia" w:eastAsiaTheme="minorEastAsia" w:cstheme="minorEastAsia"/>
          <w:color w:val="333333"/>
          <w:spacing w:val="-2"/>
          <w:sz w:val="30"/>
          <w:szCs w:val="30"/>
        </w:rPr>
        <w:t>2</w:t>
      </w:r>
      <w:r>
        <w:rPr>
          <w:rFonts w:hint="eastAsia" w:asciiTheme="minorEastAsia" w:hAnsiTheme="minorEastAsia" w:eastAsiaTheme="minorEastAsia" w:cstheme="minorEastAsia"/>
          <w:color w:val="333333"/>
          <w:spacing w:val="-2"/>
          <w:sz w:val="30"/>
          <w:szCs w:val="30"/>
        </w:rPr>
        <w:t>年度本单位财政性资金整体使用情况进行了绩效自评，现将具体绩效评价情况报告如下：</w:t>
      </w:r>
    </w:p>
    <w:p>
      <w:pPr>
        <w:spacing w:line="600" w:lineRule="exact"/>
        <w:ind w:firstLine="602" w:firstLineChars="200"/>
        <w:jc w:val="left"/>
        <w:rPr>
          <w:rFonts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一、单位基本情况</w:t>
      </w:r>
    </w:p>
    <w:p>
      <w:pPr>
        <w:shd w:val="solid" w:color="FFFFFF" w:fill="auto"/>
        <w:autoSpaceDN w:val="0"/>
        <w:ind w:firstLine="600" w:firstLineChars="200"/>
        <w:jc w:val="left"/>
        <w:rPr>
          <w:rFonts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  <w:t>衡南县水文水资源局属正科级事业单位，现有在职职工8人。</w:t>
      </w:r>
    </w:p>
    <w:p>
      <w:pPr>
        <w:spacing w:line="600" w:lineRule="exact"/>
        <w:ind w:firstLine="602" w:firstLineChars="200"/>
        <w:jc w:val="left"/>
        <w:rPr>
          <w:rFonts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二、部门职能</w:t>
      </w:r>
    </w:p>
    <w:p>
      <w:pPr>
        <w:spacing w:line="600" w:lineRule="exact"/>
        <w:ind w:firstLine="600" w:firstLineChars="200"/>
        <w:jc w:val="left"/>
        <w:rPr>
          <w:rFonts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  <w:t>1、承担全县水文情报预报预测工作，为防汛抗旱提供科学依据。</w:t>
      </w:r>
    </w:p>
    <w:p>
      <w:pPr>
        <w:spacing w:line="600" w:lineRule="exact"/>
        <w:ind w:firstLine="600" w:firstLineChars="200"/>
        <w:jc w:val="left"/>
      </w:pPr>
      <w:r>
        <w:rPr>
          <w:rFonts w:hint="eastAsia"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  <w:t>2、承担全县水文信息、资料的监测、收集、整编工作。</w:t>
      </w:r>
    </w:p>
    <w:p>
      <w:pPr>
        <w:spacing w:line="600" w:lineRule="exact"/>
        <w:ind w:firstLine="600" w:firstLineChars="200"/>
        <w:jc w:val="left"/>
      </w:pPr>
      <w:r>
        <w:rPr>
          <w:rFonts w:hint="eastAsia"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  <w:t>3、承担全县水质监测工作。</w:t>
      </w:r>
    </w:p>
    <w:p>
      <w:pPr>
        <w:spacing w:line="600" w:lineRule="exact"/>
        <w:ind w:firstLine="600" w:firstLineChars="200"/>
        <w:jc w:val="left"/>
      </w:pPr>
      <w:r>
        <w:rPr>
          <w:rFonts w:hint="eastAsia"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  <w:t>4、承担全县水文、山洪自动测报站点维护工作。</w:t>
      </w:r>
    </w:p>
    <w:p>
      <w:pPr>
        <w:pStyle w:val="2"/>
      </w:pPr>
    </w:p>
    <w:p>
      <w:pPr>
        <w:spacing w:line="600" w:lineRule="exact"/>
        <w:ind w:firstLine="602" w:firstLineChars="200"/>
        <w:jc w:val="left"/>
        <w:rPr>
          <w:rFonts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三、部门整体支出管理及使用情况</w:t>
      </w:r>
    </w:p>
    <w:p>
      <w:pPr>
        <w:shd w:val="solid" w:color="FFFFFF" w:fill="auto"/>
        <w:autoSpaceDN w:val="0"/>
        <w:ind w:firstLine="600" w:firstLineChars="200"/>
        <w:jc w:val="left"/>
        <w:rPr>
          <w:rFonts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  <w:t>（一）部门预算决算收支情况</w:t>
      </w:r>
    </w:p>
    <w:p>
      <w:pPr>
        <w:spacing w:line="600" w:lineRule="exact"/>
        <w:ind w:firstLine="600" w:firstLineChars="200"/>
        <w:jc w:val="left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  <w:t>2022年年初预算收入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32</w:t>
      </w:r>
      <w:r>
        <w:rPr>
          <w:rFonts w:hint="eastAsia"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  <w:t>万元，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其中：一般商品和服务支出8万元，项目支出24万元。</w:t>
      </w:r>
    </w:p>
    <w:p>
      <w:pPr>
        <w:shd w:val="solid" w:color="FFFFFF" w:fill="auto"/>
        <w:autoSpaceDN w:val="0"/>
        <w:ind w:firstLine="600" w:firstLineChars="200"/>
        <w:jc w:val="left"/>
        <w:rPr>
          <w:rFonts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  <w:t>2022年决算收入32万元。本年度总支出32万元，其中：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一般商品和服务支出8万元，项目支出24万元</w:t>
      </w:r>
      <w:r>
        <w:rPr>
          <w:rFonts w:hint="eastAsia"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  <w:t>。</w:t>
      </w:r>
    </w:p>
    <w:p>
      <w:pPr>
        <w:shd w:val="solid" w:color="FFFFFF" w:fill="auto"/>
        <w:autoSpaceDN w:val="0"/>
        <w:ind w:firstLine="600" w:firstLineChars="200"/>
        <w:jc w:val="left"/>
        <w:rPr>
          <w:rFonts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  <w:t>（二）支出分类情况。</w:t>
      </w:r>
    </w:p>
    <w:p>
      <w:pPr>
        <w:shd w:val="solid" w:color="FFFFFF" w:fill="auto"/>
        <w:autoSpaceDN w:val="0"/>
        <w:ind w:firstLine="600" w:firstLineChars="200"/>
        <w:jc w:val="left"/>
        <w:rPr>
          <w:rFonts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  <w:t>1.基本支出</w:t>
      </w:r>
    </w:p>
    <w:p>
      <w:pPr>
        <w:shd w:val="solid" w:color="FFFFFF" w:fill="auto"/>
        <w:autoSpaceDN w:val="0"/>
        <w:ind w:firstLine="600" w:firstLineChars="200"/>
        <w:jc w:val="left"/>
        <w:rPr>
          <w:rFonts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  <w:t>基本支出为保障单位机构正常运转、完成日常工作任务而发生的各项支出，包括用于办公费、印刷费、水电费等日常公用经费。</w:t>
      </w:r>
    </w:p>
    <w:p>
      <w:pPr>
        <w:shd w:val="solid" w:color="FFFFFF" w:fill="auto"/>
        <w:autoSpaceDN w:val="0"/>
        <w:ind w:firstLine="600" w:firstLineChars="200"/>
        <w:jc w:val="left"/>
        <w:rPr>
          <w:rFonts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  <w:t>2022年年初预算批复的基本支出为8万元，2022年决算基本支出8万元。</w:t>
      </w:r>
    </w:p>
    <w:p>
      <w:pPr>
        <w:numPr>
          <w:ilvl w:val="0"/>
          <w:numId w:val="1"/>
        </w:numPr>
        <w:shd w:val="solid" w:color="FFFFFF" w:fill="auto"/>
        <w:autoSpaceDN w:val="0"/>
        <w:ind w:firstLine="600" w:firstLineChars="200"/>
        <w:jc w:val="left"/>
        <w:rPr>
          <w:rFonts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  <w:t>“三公”经费情况</w:t>
      </w:r>
    </w:p>
    <w:p>
      <w:pPr>
        <w:shd w:val="solid" w:color="FFFFFF" w:fill="auto"/>
        <w:autoSpaceDN w:val="0"/>
        <w:ind w:firstLine="600" w:firstLineChars="200"/>
        <w:jc w:val="left"/>
        <w:rPr>
          <w:rFonts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  <w:t>2022年“三公”经费实际支出0.0万元，其中公务接待0.0万元。</w:t>
      </w:r>
    </w:p>
    <w:p>
      <w:pPr>
        <w:shd w:val="solid" w:color="FFFFFF" w:fill="auto"/>
        <w:autoSpaceDN w:val="0"/>
        <w:ind w:firstLine="600" w:firstLineChars="200"/>
        <w:jc w:val="left"/>
        <w:rPr>
          <w:rFonts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  <w:t xml:space="preserve">我局三公经费严格按照年初预算以及各级部门相关要求，严把支出关，强化制度执行。切实做好厉行节约工作，全面落实各项管理制度要求，努力降低行政成本。严格公务接待费、差旅费审核审批程序，实行限额把关、一支笔审批制度，做到一事一公函、一事一审批、一事一结账。各项费用报账支出严格履行报账单“一单五签”程序，重大事项严格遵守：“三重一大”制度，“三公”经费较好地控制在预算范围之内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hd w:val="solid" w:color="FFFFFF" w:fill="auto"/>
        <w:autoSpaceDN w:val="0"/>
        <w:ind w:firstLine="600" w:firstLineChars="200"/>
        <w:jc w:val="left"/>
        <w:rPr>
          <w:rFonts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  <w:t>3.项目支出</w:t>
      </w:r>
    </w:p>
    <w:p>
      <w:pPr>
        <w:shd w:val="solid" w:color="FFFFFF" w:fill="auto"/>
        <w:autoSpaceDN w:val="0"/>
        <w:ind w:firstLine="600" w:firstLineChars="200"/>
        <w:jc w:val="left"/>
        <w:rPr>
          <w:rFonts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  <w:t>2022年年初预算批复的项目支出为24万元， 2022年决算项目支出共24万元，水文监测及水文情报预报项目支出24万元。</w:t>
      </w:r>
    </w:p>
    <w:p>
      <w:pPr>
        <w:spacing w:line="600" w:lineRule="exact"/>
        <w:ind w:firstLine="602" w:firstLineChars="200"/>
        <w:jc w:val="left"/>
        <w:rPr>
          <w:rFonts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四、绩效评价工作情况</w:t>
      </w:r>
    </w:p>
    <w:p>
      <w:pPr>
        <w:spacing w:line="600" w:lineRule="exact"/>
        <w:ind w:firstLine="600" w:firstLineChars="200"/>
        <w:jc w:val="left"/>
        <w:rPr>
          <w:rFonts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  <w:t>（一）评价目的</w:t>
      </w:r>
    </w:p>
    <w:p>
      <w:pPr>
        <w:spacing w:line="600" w:lineRule="exact"/>
        <w:ind w:firstLine="600" w:firstLineChars="200"/>
        <w:jc w:val="left"/>
        <w:rPr>
          <w:rFonts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  <w:t>通过全面开展财政支出绩效评价，强化财政支出绩效理念，科学合理编制年度预算，切实发挥财政资金资源配置作用，逐步建立以科学理财为基础，以精细化管理为手段，以评价结果为导向，以实施过程为监管对象的预算管理体系。同时可以使我局的各项指标数据更加清晰明了，有利于我局2022年各项工作的开展。</w:t>
      </w:r>
    </w:p>
    <w:p>
      <w:pPr>
        <w:spacing w:line="600" w:lineRule="exact"/>
        <w:ind w:firstLine="600" w:firstLineChars="200"/>
        <w:jc w:val="left"/>
        <w:rPr>
          <w:rFonts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  <w:t>（二）评价方法</w:t>
      </w:r>
    </w:p>
    <w:p>
      <w:pPr>
        <w:spacing w:line="600" w:lineRule="exact"/>
        <w:ind w:firstLine="600" w:firstLineChars="200"/>
        <w:jc w:val="left"/>
        <w:rPr>
          <w:rFonts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  <w:t>根据衡南县财政局《衡南县预算绩效管理工作考核办法》（南财预[2015]174号）及县财政局会议精神，我局成立了绩效评价工作组，于2022年5月初起开展了部门整体支出绩效评价工作，具体工作方法包括：</w:t>
      </w:r>
    </w:p>
    <w:p>
      <w:pPr>
        <w:spacing w:line="600" w:lineRule="exact"/>
        <w:ind w:firstLine="600" w:firstLineChars="200"/>
        <w:jc w:val="left"/>
        <w:rPr>
          <w:rFonts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  <w:t>1、查阅资料。查阅2022年度预算安排、预算追加、经费支出、资金管理、资产管理等相关文件资料和财务凭证。</w:t>
      </w:r>
    </w:p>
    <w:p>
      <w:pPr>
        <w:spacing w:line="600" w:lineRule="exact"/>
        <w:ind w:firstLine="600" w:firstLineChars="200"/>
        <w:jc w:val="left"/>
        <w:rPr>
          <w:rFonts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  <w:t>2、核实数据。对2022年度部门整体支出数据的准确性、真实性进行核实，将2022年度部门整体支出情况与2022年度预算情况、2022年度部门整体支出情况进行比较分析。</w:t>
      </w:r>
    </w:p>
    <w:p>
      <w:pPr>
        <w:spacing w:line="600" w:lineRule="exact"/>
        <w:ind w:firstLine="600" w:firstLineChars="200"/>
        <w:jc w:val="left"/>
        <w:rPr>
          <w:rFonts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  <w:t>3、形成绩效评价报告。</w:t>
      </w:r>
    </w:p>
    <w:p>
      <w:pPr>
        <w:spacing w:line="600" w:lineRule="exact"/>
        <w:ind w:firstLine="602" w:firstLineChars="200"/>
        <w:jc w:val="left"/>
        <w:rPr>
          <w:rFonts w:asciiTheme="minorEastAsia" w:hAnsiTheme="minorEastAsia" w:eastAsiaTheme="minorEastAsia" w:cstheme="minorEastAsia"/>
          <w:b/>
          <w:bCs/>
          <w:color w:val="383838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五、部门总体支出绩效评价</w:t>
      </w:r>
    </w:p>
    <w:p>
      <w:pPr>
        <w:spacing w:line="600" w:lineRule="exact"/>
        <w:ind w:firstLine="600" w:firstLineChars="200"/>
        <w:jc w:val="left"/>
        <w:rPr>
          <w:rFonts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  <w:t>2022年我局根据年初工作规划及财政预算计划，积极履职、强化管理，较好的完成了年度工作目标。通过加强预算收支管理、不断建立健全内部管理制度、梳理内部管理流程，部门整体支出管理情况得到提升。我局2022年度部门整体支出绩效评价自评得分为95分。具体工作主要体现在以下几个方面：</w:t>
      </w:r>
    </w:p>
    <w:p>
      <w:pPr>
        <w:spacing w:line="600" w:lineRule="exact"/>
        <w:ind w:firstLine="600" w:firstLineChars="200"/>
        <w:jc w:val="left"/>
        <w:rPr>
          <w:rFonts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  <w:t>一是进一步规范财务管理，加强预算管理。同时，在财务开支把关方面认真执行相关文件并严格财务开支审批程序，加强对差旅费、会议费、接待费、公务用车运行经费等各项开支的管理。大力压缩一般性支出，提高财政资金使用效益。</w:t>
      </w:r>
    </w:p>
    <w:p>
      <w:pPr>
        <w:spacing w:line="600" w:lineRule="exact"/>
        <w:ind w:firstLine="600" w:firstLineChars="200"/>
        <w:jc w:val="left"/>
        <w:rPr>
          <w:rFonts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  <w:t>二是依法依规公开部门预决算。根据全县部门预决算公开工作统一安排部署，我局公开了2022年部门预算和“三公”经费预算，圆满完成了“三公”经费预算公开工作。</w:t>
      </w:r>
    </w:p>
    <w:p>
      <w:pPr>
        <w:spacing w:line="600" w:lineRule="exact"/>
        <w:ind w:firstLine="600" w:firstLineChars="200"/>
        <w:jc w:val="left"/>
        <w:rPr>
          <w:rFonts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  <w:t>三是加强资产管理。建立了资产管理制度，定期进行了资产盘点和资产清理，总体执行情况良好。</w:t>
      </w:r>
    </w:p>
    <w:p>
      <w:pPr>
        <w:adjustRightInd w:val="0"/>
        <w:snapToGrid w:val="0"/>
        <w:spacing w:line="600" w:lineRule="exact"/>
        <w:ind w:firstLine="602" w:firstLineChars="200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六、今后努力方向</w:t>
      </w:r>
    </w:p>
    <w:p>
      <w:pPr>
        <w:spacing w:line="600" w:lineRule="exact"/>
        <w:ind w:firstLine="600" w:firstLineChars="200"/>
        <w:jc w:val="left"/>
        <w:rPr>
          <w:rFonts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  <w:t>1、细化预算编制工作，认真做好预算的编制。进一步加强单位内部机构各股室的预算管理意识，严格按照预算编制的相关制度和要求进行预算编制。</w:t>
      </w:r>
    </w:p>
    <w:p>
      <w:pPr>
        <w:spacing w:line="600" w:lineRule="exact"/>
        <w:ind w:firstLine="600" w:firstLineChars="200"/>
        <w:jc w:val="left"/>
        <w:rPr>
          <w:rFonts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color w:val="383838"/>
          <w:sz w:val="30"/>
          <w:szCs w:val="30"/>
          <w:shd w:val="clear" w:color="auto" w:fill="FFFFFF"/>
        </w:rPr>
        <w:t>2、对相关人员加强培训，特别是针对《预算法》、《行政事业单位会计制度》等学习培训，规范部门预算收支核算，切实提高部门预算收支管理水平。</w:t>
      </w:r>
    </w:p>
    <w:p>
      <w:pPr>
        <w:pStyle w:val="2"/>
      </w:pPr>
    </w:p>
    <w:p>
      <w:pPr>
        <w:pStyle w:val="4"/>
        <w:widowControl/>
        <w:spacing w:line="33" w:lineRule="atLeast"/>
        <w:ind w:firstLine="600" w:firstLineChars="200"/>
        <w:jc w:val="center"/>
        <w:rPr>
          <w:rFonts w:asciiTheme="minorEastAsia" w:hAnsiTheme="minorEastAsia" w:eastAsiaTheme="minorEastAsia" w:cstheme="minorEastAsia"/>
          <w:bCs/>
          <w:color w:val="383838"/>
          <w:kern w:val="2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color w:val="383838"/>
          <w:kern w:val="2"/>
          <w:sz w:val="30"/>
          <w:szCs w:val="30"/>
          <w:shd w:val="clear" w:color="auto" w:fill="FFFFFF"/>
        </w:rPr>
        <w:t xml:space="preserve">                             衡南县水文水资源局</w:t>
      </w:r>
    </w:p>
    <w:p>
      <w:pPr>
        <w:pStyle w:val="4"/>
        <w:widowControl/>
        <w:wordWrap w:val="0"/>
        <w:spacing w:line="33" w:lineRule="atLeast"/>
        <w:ind w:firstLine="600" w:firstLineChars="200"/>
        <w:jc w:val="center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color w:val="383838"/>
          <w:kern w:val="2"/>
          <w:sz w:val="30"/>
          <w:szCs w:val="30"/>
          <w:shd w:val="clear" w:color="auto" w:fill="FFFFFF"/>
        </w:rPr>
        <w:t xml:space="preserve">                                2022年4月25日 </w:t>
      </w:r>
    </w:p>
    <w:sectPr>
      <w:pgSz w:w="11906" w:h="16838"/>
      <w:pgMar w:top="1440" w:right="1701" w:bottom="17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B4D093"/>
    <w:multiLevelType w:val="singleLevel"/>
    <w:tmpl w:val="59B4D09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58"/>
    <w:rsid w:val="001A6B87"/>
    <w:rsid w:val="001B068E"/>
    <w:rsid w:val="001F7E61"/>
    <w:rsid w:val="003F1C29"/>
    <w:rsid w:val="00495F58"/>
    <w:rsid w:val="004C744E"/>
    <w:rsid w:val="004F1F7D"/>
    <w:rsid w:val="00691F71"/>
    <w:rsid w:val="00786D56"/>
    <w:rsid w:val="00813976"/>
    <w:rsid w:val="009F02B0"/>
    <w:rsid w:val="00B47214"/>
    <w:rsid w:val="00B5509F"/>
    <w:rsid w:val="00C430BF"/>
    <w:rsid w:val="00DF35C1"/>
    <w:rsid w:val="00DF604F"/>
    <w:rsid w:val="00FB4C4E"/>
    <w:rsid w:val="03631290"/>
    <w:rsid w:val="082E49BE"/>
    <w:rsid w:val="0F0D4910"/>
    <w:rsid w:val="0F4C51BE"/>
    <w:rsid w:val="1C2722DD"/>
    <w:rsid w:val="1C844BEA"/>
    <w:rsid w:val="1D0434D0"/>
    <w:rsid w:val="1F3809C0"/>
    <w:rsid w:val="231D268B"/>
    <w:rsid w:val="2EAF5B71"/>
    <w:rsid w:val="2EEA4BF6"/>
    <w:rsid w:val="302065C4"/>
    <w:rsid w:val="30310494"/>
    <w:rsid w:val="30D469FD"/>
    <w:rsid w:val="3ED66130"/>
    <w:rsid w:val="44B45F20"/>
    <w:rsid w:val="461079B5"/>
    <w:rsid w:val="49D07917"/>
    <w:rsid w:val="4DE62AA1"/>
    <w:rsid w:val="4F24177D"/>
    <w:rsid w:val="56045A83"/>
    <w:rsid w:val="5AD30ABF"/>
    <w:rsid w:val="5E045541"/>
    <w:rsid w:val="61C51262"/>
    <w:rsid w:val="6925087C"/>
    <w:rsid w:val="6A640651"/>
    <w:rsid w:val="6B5A4922"/>
    <w:rsid w:val="764753F3"/>
    <w:rsid w:val="7B0F3D1D"/>
    <w:rsid w:val="7B3C3299"/>
    <w:rsid w:val="7BCF3917"/>
    <w:rsid w:val="7EFF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2159</Characters>
  <Lines>17</Lines>
  <Paragraphs>5</Paragraphs>
  <TotalTime>292</TotalTime>
  <ScaleCrop>false</ScaleCrop>
  <LinksUpToDate>false</LinksUpToDate>
  <CharactersWithSpaces>2532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2018-01-31T04:49:00Z</dcterms:created>
  <dc:creator>Administrator</dc:creator>
  <cp:lastModifiedBy>孙泽宇</cp:lastModifiedBy>
  <cp:lastPrinted>2022-04-26T09:11:00Z</cp:lastPrinted>
  <dcterms:modified xsi:type="dcterms:W3CDTF">2023-10-11T09:10:33Z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14A5509471274605BEB53455961C447A_13</vt:lpwstr>
  </property>
</Properties>
</file>