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cs="宋体"/>
          <w:b/>
          <w:bCs/>
          <w:sz w:val="36"/>
          <w:szCs w:val="36"/>
        </w:rPr>
      </w:pPr>
      <w:bookmarkStart w:id="0" w:name="_GoBack"/>
      <w:bookmarkEnd w:id="0"/>
    </w:p>
    <w:p>
      <w:pPr>
        <w:spacing w:line="520" w:lineRule="exact"/>
        <w:jc w:val="center"/>
        <w:rPr>
          <w:rFonts w:ascii="宋体" w:hAnsi="宋体" w:eastAsia="宋体" w:cs="宋体"/>
          <w:b/>
          <w:bCs/>
          <w:sz w:val="36"/>
          <w:szCs w:val="36"/>
        </w:rPr>
      </w:pPr>
    </w:p>
    <w:p>
      <w:pPr>
        <w:spacing w:line="520" w:lineRule="exact"/>
        <w:jc w:val="center"/>
        <w:rPr>
          <w:rFonts w:ascii="宋体" w:hAnsi="宋体" w:eastAsia="宋体" w:cs="宋体"/>
          <w:b/>
          <w:bCs/>
          <w:sz w:val="36"/>
          <w:szCs w:val="36"/>
        </w:rPr>
      </w:pPr>
    </w:p>
    <w:p>
      <w:pPr>
        <w:spacing w:line="520" w:lineRule="exact"/>
        <w:jc w:val="center"/>
        <w:rPr>
          <w:rFonts w:ascii="宋体" w:hAnsi="宋体" w:eastAsia="宋体" w:cs="宋体"/>
          <w:b/>
          <w:bCs/>
          <w:sz w:val="36"/>
          <w:szCs w:val="36"/>
        </w:rPr>
      </w:pPr>
    </w:p>
    <w:p>
      <w:pPr>
        <w:spacing w:line="520" w:lineRule="exact"/>
        <w:jc w:val="center"/>
        <w:rPr>
          <w:rFonts w:ascii="宋体" w:hAnsi="宋体" w:eastAsia="宋体" w:cs="宋体"/>
          <w:b/>
          <w:bCs/>
          <w:sz w:val="36"/>
          <w:szCs w:val="36"/>
        </w:rPr>
      </w:pPr>
    </w:p>
    <w:p>
      <w:pPr>
        <w:spacing w:line="520" w:lineRule="exact"/>
        <w:jc w:val="center"/>
        <w:rPr>
          <w:rFonts w:ascii="宋体" w:hAnsi="宋体" w:eastAsia="宋体" w:cs="宋体"/>
          <w:b/>
          <w:bCs/>
          <w:sz w:val="44"/>
          <w:szCs w:val="44"/>
        </w:rPr>
      </w:pPr>
      <w:r>
        <w:rPr>
          <w:rFonts w:hint="eastAsia" w:ascii="宋体" w:hAnsi="宋体" w:eastAsia="宋体" w:cs="宋体"/>
          <w:b/>
          <w:bCs/>
          <w:sz w:val="44"/>
          <w:szCs w:val="44"/>
        </w:rPr>
        <w:t>衡南县供销合作社联合社</w:t>
      </w:r>
    </w:p>
    <w:p>
      <w:pPr>
        <w:spacing w:line="520" w:lineRule="exact"/>
        <w:jc w:val="center"/>
        <w:rPr>
          <w:rFonts w:ascii="宋体" w:hAnsi="宋体" w:eastAsia="宋体" w:cs="宋体"/>
          <w:b/>
          <w:bCs/>
          <w:sz w:val="44"/>
          <w:szCs w:val="44"/>
        </w:rPr>
      </w:pPr>
      <w:r>
        <w:rPr>
          <w:rFonts w:hint="eastAsia" w:ascii="宋体" w:hAnsi="宋体" w:eastAsia="宋体" w:cs="宋体"/>
          <w:b/>
          <w:bCs/>
          <w:sz w:val="44"/>
          <w:szCs w:val="44"/>
        </w:rPr>
        <w:t>部门整体支出绩效报告</w:t>
      </w:r>
    </w:p>
    <w:p>
      <w:pPr>
        <w:spacing w:line="520" w:lineRule="exact"/>
        <w:jc w:val="center"/>
        <w:rPr>
          <w:rFonts w:ascii="仿宋_GB2312" w:hAnsi="仿宋_GB2312" w:eastAsia="仿宋_GB2312" w:cs="仿宋_GB2312"/>
          <w:b/>
          <w:bCs/>
          <w:sz w:val="32"/>
          <w:szCs w:val="32"/>
        </w:rPr>
      </w:pPr>
    </w:p>
    <w:p>
      <w:pPr>
        <w:spacing w:line="600" w:lineRule="exact"/>
        <w:ind w:firstLine="640" w:firstLineChars="200"/>
        <w:jc w:val="left"/>
        <w:rPr>
          <w:rFonts w:ascii="仿宋" w:hAnsi="仿宋" w:eastAsia="仿宋" w:cs="仿宋"/>
          <w:kern w:val="32"/>
          <w:sz w:val="32"/>
          <w:szCs w:val="32"/>
        </w:rPr>
      </w:pPr>
      <w:r>
        <w:rPr>
          <w:rFonts w:hint="eastAsia" w:ascii="仿宋" w:hAnsi="仿宋" w:eastAsia="仿宋" w:cs="仿宋"/>
          <w:kern w:val="0"/>
          <w:sz w:val="32"/>
          <w:szCs w:val="32"/>
        </w:rPr>
        <w:t>为切实加强财政资金管理，进一步规范预算资金使用，提高财政资金使用效益，根据《中共湖南省委办公厅湖南省人民政府办公厅关于全面实施预算绩效管理的实施意见》（湘办发〔2019〕10号）、财政部《项目支出绩效评价管理办法》（财预〔2020〕10号）、</w:t>
      </w:r>
      <w:r>
        <w:rPr>
          <w:rFonts w:hint="eastAsia" w:ascii="仿宋" w:hAnsi="仿宋" w:eastAsia="仿宋" w:cs="仿宋"/>
          <w:sz w:val="32"/>
          <w:szCs w:val="32"/>
        </w:rPr>
        <w:t>《湖南省预算支出绩效评价管理办法》（湘财绩</w:t>
      </w:r>
      <w:r>
        <w:rPr>
          <w:rFonts w:hint="eastAsia" w:ascii="仿宋" w:hAnsi="仿宋" w:eastAsia="仿宋" w:cs="仿宋"/>
          <w:kern w:val="0"/>
          <w:sz w:val="32"/>
          <w:szCs w:val="32"/>
        </w:rPr>
        <w:t>〔2020〕7号</w:t>
      </w:r>
      <w:r>
        <w:rPr>
          <w:rFonts w:hint="eastAsia" w:ascii="仿宋" w:hAnsi="仿宋" w:eastAsia="仿宋" w:cs="仿宋"/>
          <w:sz w:val="32"/>
          <w:szCs w:val="32"/>
        </w:rPr>
        <w:t>）、《衡南县财政局关于开展2022年度财政资金绩效自评工作的通知》（清财绩【2023】53号）等文件精神要求，我办领导高度重视，召开了绩效评价工作专题会议，并对该项工作进行了安排部署，</w:t>
      </w:r>
      <w:r>
        <w:rPr>
          <w:rFonts w:hint="eastAsia" w:ascii="仿宋" w:hAnsi="仿宋" w:eastAsia="仿宋" w:cs="仿宋"/>
          <w:kern w:val="32"/>
          <w:sz w:val="32"/>
          <w:szCs w:val="32"/>
        </w:rPr>
        <w:t>现将我社2022年度财政资金绩效自评工作汇报如下：</w:t>
      </w:r>
    </w:p>
    <w:p>
      <w:pPr>
        <w:adjustRightInd w:val="0"/>
        <w:snapToGrid w:val="0"/>
        <w:spacing w:line="560" w:lineRule="exact"/>
        <w:ind w:left="640"/>
        <w:rPr>
          <w:rFonts w:cs="仿宋_GB2312" w:asciiTheme="minorEastAsia" w:hAnsiTheme="minorEastAsia"/>
          <w:b/>
          <w:sz w:val="32"/>
          <w:szCs w:val="32"/>
        </w:rPr>
      </w:pPr>
      <w:r>
        <w:rPr>
          <w:rFonts w:hint="eastAsia" w:cs="仿宋_GB2312" w:asciiTheme="minorEastAsia" w:hAnsiTheme="minorEastAsia"/>
          <w:b/>
          <w:sz w:val="32"/>
          <w:szCs w:val="32"/>
        </w:rPr>
        <w:t>一、基本情况</w:t>
      </w:r>
    </w:p>
    <w:p>
      <w:pPr>
        <w:spacing w:line="560" w:lineRule="exact"/>
        <w:ind w:firstLine="630"/>
        <w:rPr>
          <w:rFonts w:ascii="仿宋" w:hAnsi="仿宋" w:eastAsia="仿宋" w:cs="仿宋_GB2312"/>
          <w:sz w:val="32"/>
          <w:szCs w:val="32"/>
        </w:rPr>
      </w:pPr>
      <w:r>
        <w:rPr>
          <w:rFonts w:hint="eastAsia" w:ascii="仿宋" w:hAnsi="仿宋" w:eastAsia="仿宋" w:cs="仿宋_GB2312"/>
          <w:sz w:val="32"/>
          <w:szCs w:val="32"/>
        </w:rPr>
        <w:t>衡南县供销合作社联合社为县人民政府正科级直属事业单位,财政预算全额拨款事业单位，财务核算适用事业单位会计制度。现有在职干部职工23人(含集商办)，退休人员37人。长期临时工1人。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（一）机构设置情况</w:t>
      </w:r>
    </w:p>
    <w:p>
      <w:pPr>
        <w:adjustRightInd w:val="0"/>
        <w:snapToGrid w:val="0"/>
        <w:spacing w:line="560" w:lineRule="exact"/>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下设二级机构1个：衡南县集体商业服务中心。7个内设机构：办公室、人事股、财务股、合作指导股、安全保卫股、监事会办公室、审计股。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（二）主要职能</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1、负责制定全县供销合作社系统综合改革和发展规划。</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2、负责建立新型的完善的为农服务体系，现代商品流通体系，实施惠农服务工程。</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3、指导全县供销合作社系统企业做大做强，培育参股控股各类农业服务龙头企业，推进社有企业健全现代企业制度。</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4、监督管理全县供销社系统的社有资产，依法维护供销社的合法权益。</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5、指导全县供销社系统的科技开发和有关科技成果的转化推广工作，推进农业专业合作社联合社、行业协会建设。</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6、负责全县供销社系统人才队伍建设和干部职工教育培训工作。</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7、推进乡镇惠农服务中心建设，搭建农村农资供应，电子商务、商品流通、现代物流、土地托管等为农服务平台。</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8、加快村级（社区）综合服务社建设。</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9、协调处理基层社、社有企业遗留问题，及时做好安全生产、信访维稳工作。</w:t>
      </w:r>
    </w:p>
    <w:p>
      <w:pPr>
        <w:adjustRightInd w:val="0"/>
        <w:snapToGrid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二、部门整体支出管理及使用情况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（一）部门预算收支情况</w:t>
      </w:r>
    </w:p>
    <w:p>
      <w:pPr>
        <w:autoSpaceDE w:val="0"/>
        <w:autoSpaceDN w:val="0"/>
        <w:adjustRightInd w:val="0"/>
        <w:spacing w:line="600" w:lineRule="exact"/>
        <w:ind w:firstLine="640"/>
        <w:rPr>
          <w:rFonts w:ascii="仿宋" w:hAnsi="仿宋" w:eastAsia="仿宋" w:cs="仿宋"/>
          <w:sz w:val="32"/>
          <w:szCs w:val="32"/>
        </w:rPr>
      </w:pPr>
      <w:r>
        <w:rPr>
          <w:rFonts w:hint="eastAsia" w:ascii="仿宋" w:hAnsi="仿宋" w:eastAsia="仿宋" w:cs="仿宋"/>
          <w:sz w:val="32"/>
          <w:szCs w:val="32"/>
        </w:rPr>
        <w:t>2022年，本部门年初预算收入281.70万元，其中：一般公共预算财政拨款收入年初预算281.70万元。收入调整预算数为</w:t>
      </w:r>
      <w:r>
        <w:rPr>
          <w:rFonts w:ascii="仿宋" w:hAnsi="仿宋" w:eastAsia="仿宋" w:cs="仿宋"/>
          <w:sz w:val="32"/>
          <w:szCs w:val="32"/>
        </w:rPr>
        <w:t>453</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7万元，其中一般公共预算财政拨款收入</w:t>
      </w:r>
      <w:r>
        <w:rPr>
          <w:rFonts w:ascii="仿宋" w:hAnsi="仿宋" w:eastAsia="仿宋" w:cs="仿宋"/>
          <w:sz w:val="32"/>
          <w:szCs w:val="32"/>
        </w:rPr>
        <w:t>394</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5  万元,其它收入</w:t>
      </w:r>
      <w:r>
        <w:rPr>
          <w:rFonts w:ascii="仿宋" w:hAnsi="仿宋" w:eastAsia="仿宋" w:cs="仿宋"/>
          <w:sz w:val="32"/>
          <w:szCs w:val="32"/>
        </w:rPr>
        <w:t>58</w:t>
      </w: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2万元。</w:t>
      </w:r>
      <w:r>
        <w:rPr>
          <w:rFonts w:hint="eastAsia" w:ascii="仿宋" w:hAnsi="仿宋" w:eastAsia="仿宋" w:cs="迷你简黑体"/>
          <w:bCs/>
          <w:sz w:val="30"/>
          <w:szCs w:val="30"/>
        </w:rPr>
        <w:t>2022年支出决算数为</w:t>
      </w:r>
      <w:r>
        <w:rPr>
          <w:rFonts w:ascii="仿宋" w:hAnsi="仿宋" w:eastAsia="仿宋" w:cs="仿宋"/>
          <w:sz w:val="32"/>
          <w:szCs w:val="32"/>
        </w:rPr>
        <w:t>453</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7</w:t>
      </w:r>
      <w:r>
        <w:rPr>
          <w:rFonts w:hint="eastAsia" w:ascii="仿宋" w:hAnsi="仿宋" w:eastAsia="仿宋" w:cs="迷你简黑体"/>
          <w:bCs/>
          <w:sz w:val="30"/>
          <w:szCs w:val="30"/>
        </w:rPr>
        <w:t>万元，其中基本支出</w:t>
      </w:r>
      <w:r>
        <w:rPr>
          <w:rFonts w:ascii="仿宋" w:hAnsi="仿宋" w:eastAsia="仿宋" w:cs="迷你简黑体"/>
          <w:bCs/>
          <w:sz w:val="30"/>
          <w:szCs w:val="30"/>
        </w:rPr>
        <w:t>197</w:t>
      </w:r>
      <w:r>
        <w:rPr>
          <w:rFonts w:hint="eastAsia" w:ascii="仿宋" w:hAnsi="仿宋" w:eastAsia="仿宋" w:cs="迷你简黑体"/>
          <w:bCs/>
          <w:sz w:val="30"/>
          <w:szCs w:val="30"/>
        </w:rPr>
        <w:t>.</w:t>
      </w:r>
      <w:r>
        <w:rPr>
          <w:rFonts w:ascii="仿宋" w:hAnsi="仿宋" w:eastAsia="仿宋" w:cs="迷你简黑体"/>
          <w:bCs/>
          <w:sz w:val="30"/>
          <w:szCs w:val="30"/>
        </w:rPr>
        <w:t>8</w:t>
      </w:r>
      <w:r>
        <w:rPr>
          <w:rFonts w:hint="eastAsia" w:ascii="仿宋" w:hAnsi="仿宋" w:eastAsia="仿宋" w:cs="迷你简黑体"/>
          <w:bCs/>
          <w:sz w:val="30"/>
          <w:szCs w:val="30"/>
        </w:rPr>
        <w:t>8万元，项目支出</w:t>
      </w:r>
      <w:r>
        <w:rPr>
          <w:rFonts w:ascii="仿宋" w:hAnsi="仿宋" w:eastAsia="仿宋" w:cs="迷你简黑体"/>
          <w:bCs/>
          <w:sz w:val="30"/>
          <w:szCs w:val="30"/>
        </w:rPr>
        <w:t>255</w:t>
      </w:r>
      <w:r>
        <w:rPr>
          <w:rFonts w:hint="eastAsia" w:ascii="仿宋" w:hAnsi="仿宋" w:eastAsia="仿宋" w:cs="迷你简黑体"/>
          <w:bCs/>
          <w:sz w:val="30"/>
          <w:szCs w:val="30"/>
        </w:rPr>
        <w:t>.</w:t>
      </w:r>
      <w:r>
        <w:rPr>
          <w:rFonts w:ascii="仿宋" w:hAnsi="仿宋" w:eastAsia="仿宋" w:cs="迷你简黑体"/>
          <w:bCs/>
          <w:sz w:val="30"/>
          <w:szCs w:val="30"/>
        </w:rPr>
        <w:t>39</w:t>
      </w:r>
      <w:r>
        <w:rPr>
          <w:rFonts w:hint="eastAsia" w:ascii="仿宋" w:hAnsi="仿宋" w:eastAsia="仿宋" w:cs="迷你简黑体"/>
          <w:bCs/>
          <w:sz w:val="30"/>
          <w:szCs w:val="30"/>
        </w:rPr>
        <w:t>万元。</w:t>
      </w:r>
    </w:p>
    <w:p>
      <w:pPr>
        <w:autoSpaceDE w:val="0"/>
        <w:autoSpaceDN w:val="0"/>
        <w:adjustRightInd w:val="0"/>
        <w:spacing w:line="600" w:lineRule="exact"/>
        <w:ind w:firstLine="640"/>
        <w:rPr>
          <w:rFonts w:hint="eastAsia" w:ascii="仿宋" w:hAnsi="仿宋" w:eastAsia="仿宋" w:cs="迷你简黑体"/>
          <w:bCs/>
          <w:sz w:val="30"/>
          <w:szCs w:val="30"/>
        </w:rPr>
      </w:pPr>
      <w:r>
        <w:rPr>
          <w:rFonts w:hint="eastAsia" w:ascii="仿宋" w:hAnsi="仿宋" w:eastAsia="仿宋" w:cs="仿宋"/>
          <w:sz w:val="32"/>
          <w:szCs w:val="32"/>
        </w:rPr>
        <w:t>2022年，本部门年初预算支出281.70万元，其中：基本</w:t>
      </w:r>
      <w:r>
        <w:rPr>
          <w:rFonts w:hint="eastAsia" w:ascii="仿宋" w:hAnsi="仿宋" w:eastAsia="仿宋" w:cs="仿宋"/>
          <w:sz w:val="32"/>
          <w:szCs w:val="32"/>
          <w:lang w:val="zh-CN"/>
        </w:rPr>
        <w:t>支出</w:t>
      </w:r>
      <w:r>
        <w:rPr>
          <w:rFonts w:hint="eastAsia" w:ascii="仿宋" w:hAnsi="仿宋" w:eastAsia="仿宋" w:cs="仿宋"/>
          <w:sz w:val="32"/>
          <w:szCs w:val="32"/>
        </w:rPr>
        <w:t>年初预算</w:t>
      </w:r>
      <w:r>
        <w:rPr>
          <w:rFonts w:ascii="仿宋" w:hAnsi="仿宋" w:eastAsia="仿宋" w:cs="仿宋"/>
          <w:sz w:val="32"/>
          <w:szCs w:val="32"/>
        </w:rPr>
        <w:t>175</w:t>
      </w: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0万元，项目支出年初预算106.00万元，年度执行中因基层帮扶解困、</w:t>
      </w:r>
      <w:r>
        <w:rPr>
          <w:rStyle w:val="7"/>
          <w:rFonts w:hint="eastAsia" w:ascii="华文楷体" w:hAnsi="华文楷体" w:eastAsia="华文楷体" w:cs="华文楷体"/>
          <w:b w:val="0"/>
          <w:spacing w:val="8"/>
          <w:sz w:val="30"/>
          <w:szCs w:val="30"/>
        </w:rPr>
        <w:t>农业社会化服务、供销运营平台</w:t>
      </w:r>
      <w:r>
        <w:rPr>
          <w:rFonts w:hint="eastAsia" w:ascii="仿宋" w:hAnsi="仿宋" w:eastAsia="仿宋" w:cs="仿宋"/>
          <w:sz w:val="32"/>
          <w:szCs w:val="32"/>
        </w:rPr>
        <w:t>等工作需要，预算跟随调整，支出</w:t>
      </w:r>
      <w:r>
        <w:rPr>
          <w:rFonts w:ascii="仿宋" w:hAnsi="仿宋" w:eastAsia="仿宋" w:cs="仿宋"/>
          <w:sz w:val="32"/>
          <w:szCs w:val="32"/>
        </w:rPr>
        <w:t>453</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7万元，</w:t>
      </w:r>
      <w:r>
        <w:rPr>
          <w:rFonts w:hint="eastAsia" w:ascii="仿宋" w:hAnsi="仿宋" w:eastAsia="仿宋" w:cs="迷你简黑体"/>
          <w:bCs/>
          <w:sz w:val="30"/>
          <w:szCs w:val="30"/>
        </w:rPr>
        <w:t>其中基本支出</w:t>
      </w:r>
      <w:r>
        <w:rPr>
          <w:rFonts w:ascii="仿宋" w:hAnsi="仿宋" w:eastAsia="仿宋" w:cs="迷你简黑体"/>
          <w:bCs/>
          <w:sz w:val="30"/>
          <w:szCs w:val="30"/>
        </w:rPr>
        <w:t>197</w:t>
      </w:r>
      <w:r>
        <w:rPr>
          <w:rFonts w:hint="eastAsia" w:ascii="仿宋" w:hAnsi="仿宋" w:eastAsia="仿宋" w:cs="迷你简黑体"/>
          <w:bCs/>
          <w:sz w:val="30"/>
          <w:szCs w:val="30"/>
        </w:rPr>
        <w:t>.</w:t>
      </w:r>
      <w:r>
        <w:rPr>
          <w:rFonts w:ascii="仿宋" w:hAnsi="仿宋" w:eastAsia="仿宋" w:cs="迷你简黑体"/>
          <w:bCs/>
          <w:sz w:val="30"/>
          <w:szCs w:val="30"/>
        </w:rPr>
        <w:t>8</w:t>
      </w:r>
      <w:r>
        <w:rPr>
          <w:rFonts w:hint="eastAsia" w:ascii="仿宋" w:hAnsi="仿宋" w:eastAsia="仿宋" w:cs="迷你简黑体"/>
          <w:bCs/>
          <w:sz w:val="30"/>
          <w:szCs w:val="30"/>
        </w:rPr>
        <w:t>8万元，项目支出</w:t>
      </w:r>
      <w:r>
        <w:rPr>
          <w:rFonts w:ascii="仿宋" w:hAnsi="仿宋" w:eastAsia="仿宋" w:cs="迷你简黑体"/>
          <w:bCs/>
          <w:sz w:val="30"/>
          <w:szCs w:val="30"/>
        </w:rPr>
        <w:t>255</w:t>
      </w:r>
      <w:r>
        <w:rPr>
          <w:rFonts w:hint="eastAsia" w:ascii="仿宋" w:hAnsi="仿宋" w:eastAsia="仿宋" w:cs="迷你简黑体"/>
          <w:bCs/>
          <w:sz w:val="30"/>
          <w:szCs w:val="30"/>
        </w:rPr>
        <w:t>.</w:t>
      </w:r>
      <w:r>
        <w:rPr>
          <w:rFonts w:ascii="仿宋" w:hAnsi="仿宋" w:eastAsia="仿宋" w:cs="迷你简黑体"/>
          <w:bCs/>
          <w:sz w:val="30"/>
          <w:szCs w:val="30"/>
        </w:rPr>
        <w:t>39</w:t>
      </w:r>
      <w:r>
        <w:rPr>
          <w:rFonts w:hint="eastAsia" w:ascii="仿宋" w:hAnsi="仿宋" w:eastAsia="仿宋" w:cs="迷你简黑体"/>
          <w:bCs/>
          <w:sz w:val="30"/>
          <w:szCs w:val="30"/>
        </w:rPr>
        <w:t>万元。</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（二）支出分类情况</w:t>
      </w:r>
    </w:p>
    <w:p>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1、基本支出管理情况</w:t>
      </w:r>
    </w:p>
    <w:p>
      <w:pPr>
        <w:widowControl/>
        <w:spacing w:before="100" w:beforeAutospacing="1" w:after="100" w:afterAutospacing="1" w:line="56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基本支出总额</w:t>
      </w:r>
      <w:r>
        <w:rPr>
          <w:rFonts w:ascii="仿宋" w:hAnsi="仿宋" w:eastAsia="仿宋" w:cs="迷你简黑体"/>
          <w:bCs/>
          <w:sz w:val="30"/>
          <w:szCs w:val="30"/>
        </w:rPr>
        <w:t>197</w:t>
      </w:r>
      <w:r>
        <w:rPr>
          <w:rFonts w:hint="eastAsia" w:ascii="仿宋" w:hAnsi="仿宋" w:eastAsia="仿宋" w:cs="迷你简黑体"/>
          <w:bCs/>
          <w:sz w:val="30"/>
          <w:szCs w:val="30"/>
        </w:rPr>
        <w:t>.</w:t>
      </w:r>
      <w:r>
        <w:rPr>
          <w:rFonts w:ascii="仿宋" w:hAnsi="仿宋" w:eastAsia="仿宋" w:cs="迷你简黑体"/>
          <w:bCs/>
          <w:sz w:val="30"/>
          <w:szCs w:val="30"/>
        </w:rPr>
        <w:t>8</w:t>
      </w:r>
      <w:r>
        <w:rPr>
          <w:rFonts w:hint="eastAsia" w:ascii="仿宋" w:hAnsi="仿宋" w:eastAsia="仿宋" w:cs="迷你简黑体"/>
          <w:bCs/>
          <w:sz w:val="30"/>
          <w:szCs w:val="30"/>
        </w:rPr>
        <w:t>8</w:t>
      </w:r>
      <w:r>
        <w:rPr>
          <w:rFonts w:hint="eastAsia" w:ascii="仿宋" w:hAnsi="仿宋" w:eastAsia="仿宋" w:cs="仿宋_GB2312"/>
          <w:sz w:val="32"/>
          <w:szCs w:val="32"/>
        </w:rPr>
        <w:t>万元，其中：工资福利支出</w:t>
      </w:r>
      <w:r>
        <w:rPr>
          <w:rFonts w:ascii="仿宋" w:hAnsi="仿宋" w:eastAsia="仿宋" w:cs="仿宋_GB2312"/>
          <w:sz w:val="32"/>
          <w:szCs w:val="32"/>
        </w:rPr>
        <w:t>178</w:t>
      </w: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8万元；一般商品和服务支出5.96万元；对个人和家庭的补助支出13.54万元；办公设备购置0万元。用于保障我社机构正常运转，完成日常工作任务而发生的各项支出，包括用于在职人员基本工资，津贴补贴、劳动保险费、遗属人员抚恤费等人员经费，以及办公费、印刷费、水电费、办公设备购置等日常公用经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2、专项商品和服务支出</w:t>
      </w:r>
      <w:r>
        <w:rPr>
          <w:rFonts w:ascii="仿宋" w:hAnsi="仿宋" w:eastAsia="仿宋" w:cs="迷你简黑体"/>
          <w:bCs/>
          <w:sz w:val="30"/>
          <w:szCs w:val="30"/>
        </w:rPr>
        <w:t>255</w:t>
      </w:r>
      <w:r>
        <w:rPr>
          <w:rFonts w:hint="eastAsia" w:ascii="仿宋" w:hAnsi="仿宋" w:eastAsia="仿宋" w:cs="迷你简黑体"/>
          <w:bCs/>
          <w:sz w:val="30"/>
          <w:szCs w:val="30"/>
        </w:rPr>
        <w:t>.</w:t>
      </w:r>
      <w:r>
        <w:rPr>
          <w:rFonts w:ascii="仿宋" w:hAnsi="仿宋" w:eastAsia="仿宋" w:cs="迷你简黑体"/>
          <w:bCs/>
          <w:sz w:val="30"/>
          <w:szCs w:val="30"/>
        </w:rPr>
        <w:t>39</w:t>
      </w:r>
      <w:r>
        <w:rPr>
          <w:rFonts w:hint="eastAsia" w:ascii="仿宋" w:hAnsi="仿宋" w:eastAsia="仿宋" w:cs="仿宋_GB2312"/>
          <w:sz w:val="32"/>
          <w:szCs w:val="32"/>
        </w:rPr>
        <w:t>万元，其中：工资福利支出57.75万元；商品和服务支出118.16万元，对个人和家庭的补助74.97万元。保障我社支持基层组织发展、推进新农村现代流通网络、“万村千乡”、供销电子商务发展、基层单位人员维稳等专项支出。</w:t>
      </w:r>
    </w:p>
    <w:p>
      <w:pPr>
        <w:pStyle w:val="4"/>
        <w:spacing w:before="0" w:beforeAutospacing="0" w:after="0" w:afterAutospacing="0" w:line="560" w:lineRule="exact"/>
        <w:ind w:firstLine="640" w:firstLineChars="200"/>
        <w:contextualSpacing/>
        <w:jc w:val="both"/>
        <w:rPr>
          <w:rFonts w:ascii="仿宋" w:hAnsi="仿宋" w:eastAsia="仿宋" w:cs="仿宋_GB2312"/>
          <w:kern w:val="2"/>
          <w:sz w:val="32"/>
          <w:szCs w:val="32"/>
        </w:rPr>
      </w:pPr>
      <w:r>
        <w:rPr>
          <w:rFonts w:hint="eastAsia" w:ascii="仿宋" w:hAnsi="仿宋" w:eastAsia="仿宋" w:cs="仿宋_GB2312"/>
          <w:kern w:val="2"/>
          <w:sz w:val="32"/>
          <w:szCs w:val="32"/>
        </w:rPr>
        <w:t>3、“三公”经费支出使用和管理情况</w:t>
      </w:r>
    </w:p>
    <w:p>
      <w:pPr>
        <w:widowControl/>
        <w:shd w:val="clear" w:color="auto" w:fill="FFFFFF"/>
        <w:spacing w:line="560" w:lineRule="exact"/>
        <w:ind w:firstLine="640"/>
        <w:jc w:val="left"/>
        <w:rPr>
          <w:rFonts w:ascii="仿宋" w:hAnsi="仿宋" w:eastAsia="仿宋" w:cs="仿宋_GB2312"/>
          <w:sz w:val="32"/>
          <w:szCs w:val="32"/>
        </w:rPr>
      </w:pPr>
      <w:r>
        <w:rPr>
          <w:rFonts w:hint="eastAsia" w:ascii="仿宋" w:hAnsi="仿宋" w:eastAsia="仿宋" w:cs="仿宋_GB2312"/>
          <w:sz w:val="32"/>
          <w:szCs w:val="32"/>
        </w:rPr>
        <w:t>“三公”经费各费用均控制在预算范围内，且较预算金额有不同程度的结余。因公出国（境）费用及公务用车运行维护费均为0万元。公务接待费实际发生 0.10万元，本年较上年减少74.21%。</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三、部门整体支出绩效情况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2022年我社通过加强预算收支的管理，不断建立健全内部管理制度，理顺内部管理流程，部门整体支出管理情况得到了提升。部门整体支出绩效情况如下：</w:t>
      </w:r>
    </w:p>
    <w:p>
      <w:pPr>
        <w:spacing w:line="560" w:lineRule="exact"/>
        <w:ind w:firstLine="630"/>
        <w:rPr>
          <w:rFonts w:ascii="仿宋" w:hAnsi="仿宋" w:eastAsia="仿宋" w:cs="仿宋_GB2312"/>
          <w:sz w:val="32"/>
          <w:szCs w:val="32"/>
        </w:rPr>
      </w:pPr>
      <w:r>
        <w:rPr>
          <w:rFonts w:hint="eastAsia" w:ascii="仿宋" w:hAnsi="仿宋" w:eastAsia="仿宋" w:cs="仿宋_GB2312"/>
          <w:sz w:val="32"/>
          <w:szCs w:val="32"/>
        </w:rPr>
        <w:t>1、在职人员控制率：100%</w:t>
      </w:r>
    </w:p>
    <w:p>
      <w:pPr>
        <w:spacing w:line="560" w:lineRule="exact"/>
        <w:ind w:firstLine="630"/>
        <w:rPr>
          <w:rFonts w:ascii="仿宋" w:hAnsi="仿宋" w:eastAsia="仿宋" w:cs="仿宋_GB2312"/>
          <w:sz w:val="32"/>
          <w:szCs w:val="32"/>
        </w:rPr>
      </w:pPr>
      <w:r>
        <w:rPr>
          <w:rFonts w:hint="eastAsia" w:ascii="仿宋" w:hAnsi="仿宋" w:eastAsia="仿宋" w:cs="仿宋_GB2312"/>
          <w:sz w:val="32"/>
          <w:szCs w:val="32"/>
        </w:rPr>
        <w:t>2、“三公经费”控制率：100%。严格控制“三公经费”支出，开源节流。2022年我社“三公经费”控制数为1万元，实际支出为0.10万元。</w:t>
      </w:r>
    </w:p>
    <w:p>
      <w:pPr>
        <w:spacing w:line="560" w:lineRule="exact"/>
        <w:ind w:firstLine="630"/>
        <w:rPr>
          <w:rFonts w:ascii="仿宋" w:hAnsi="仿宋" w:eastAsia="仿宋" w:cs="仿宋_GB2312"/>
          <w:sz w:val="32"/>
          <w:szCs w:val="32"/>
        </w:rPr>
      </w:pPr>
      <w:r>
        <w:rPr>
          <w:rFonts w:hint="eastAsia" w:ascii="仿宋" w:hAnsi="仿宋" w:eastAsia="仿宋" w:cs="仿宋_GB2312"/>
          <w:sz w:val="32"/>
          <w:szCs w:val="32"/>
        </w:rPr>
        <w:t>3、预算完成率：100%</w:t>
      </w:r>
    </w:p>
    <w:p>
      <w:pPr>
        <w:spacing w:line="560" w:lineRule="exact"/>
        <w:ind w:firstLine="630"/>
        <w:rPr>
          <w:rFonts w:ascii="仿宋" w:hAnsi="仿宋" w:eastAsia="仿宋" w:cs="仿宋_GB2312"/>
          <w:sz w:val="32"/>
          <w:szCs w:val="32"/>
        </w:rPr>
      </w:pPr>
      <w:r>
        <w:rPr>
          <w:rFonts w:hint="eastAsia" w:ascii="仿宋" w:hAnsi="仿宋" w:eastAsia="仿宋" w:cs="仿宋_GB2312"/>
          <w:sz w:val="32"/>
          <w:szCs w:val="32"/>
        </w:rPr>
        <w:t>4、政府采购执行率100%</w:t>
      </w:r>
    </w:p>
    <w:p>
      <w:pPr>
        <w:spacing w:line="560" w:lineRule="exact"/>
        <w:ind w:firstLine="630"/>
        <w:rPr>
          <w:rFonts w:ascii="仿宋" w:hAnsi="仿宋" w:eastAsia="仿宋" w:cs="仿宋_GB2312"/>
          <w:sz w:val="32"/>
          <w:szCs w:val="32"/>
        </w:rPr>
      </w:pPr>
      <w:r>
        <w:rPr>
          <w:rFonts w:hint="eastAsia" w:ascii="仿宋" w:hAnsi="仿宋" w:eastAsia="仿宋" w:cs="仿宋_GB2312"/>
          <w:sz w:val="32"/>
          <w:szCs w:val="32"/>
        </w:rPr>
        <w:t>5、在资金管理上，我社制定了一系列的财务管理制度。</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四、存在的主要问题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1.预算编制的口径与实际执行出现误差：按照现行的预算编制原则，人员经费和日常公用经费都是按照上年度反映的人数安排，而实际执行中单位工作人员往往有变动或流动。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2.预算编制的分类和实行执行出现脱节：预算编制的功能分类与经济分类不够细化，而实际支出中的情况更加多元化和明细化，出现了分类不一致的情况。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3.部门整体支出不能很好的对比支出与成果，投入与产出效果，进而很难有针对性的发现问题，分析问题，提出解决方案。</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五、改进措施和有关建议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1.进一步强化预算管理意识，预算编制前多与有关各方做好沟通衔接，提高预算编制的科学性、合理性、准确性和可控性。</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2.完善各类支出管理制度，明细收支项目，坚持专款专用，提高预算编制的前瞻性和指导性。</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3.进一步推进预算绩效管理信息系统建设，完善绩效管理相关制度，提高可操作性。</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4.构建单位财务部门和业务部门共同参与、协调配合的绩效评价工作机制，落实 “谁干事谁花钱、谁花钱谁担责”的权责机制，提高财政资金使用效益。</w:t>
      </w:r>
    </w:p>
    <w:p>
      <w:pPr>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衡南县供销合作社联合社</w:t>
      </w:r>
    </w:p>
    <w:p>
      <w:pPr>
        <w:adjustRightInd w:val="0"/>
        <w:snapToGrid w:val="0"/>
        <w:spacing w:line="560" w:lineRule="exact"/>
        <w:ind w:right="1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2022年12月31日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迷你简黑体">
    <w:altName w:val="黑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AB"/>
    <w:rsid w:val="00006FAB"/>
    <w:rsid w:val="000C6B11"/>
    <w:rsid w:val="00175CBB"/>
    <w:rsid w:val="00246E11"/>
    <w:rsid w:val="0024757E"/>
    <w:rsid w:val="00264553"/>
    <w:rsid w:val="00274EA0"/>
    <w:rsid w:val="00292743"/>
    <w:rsid w:val="002C291D"/>
    <w:rsid w:val="002F6EF4"/>
    <w:rsid w:val="003C3394"/>
    <w:rsid w:val="003C512E"/>
    <w:rsid w:val="003F46FB"/>
    <w:rsid w:val="004D2881"/>
    <w:rsid w:val="004E0163"/>
    <w:rsid w:val="005B5942"/>
    <w:rsid w:val="007C7805"/>
    <w:rsid w:val="00862C20"/>
    <w:rsid w:val="00932D70"/>
    <w:rsid w:val="00A724B5"/>
    <w:rsid w:val="00AD1A97"/>
    <w:rsid w:val="00BA43ED"/>
    <w:rsid w:val="00BD3D38"/>
    <w:rsid w:val="00BF6617"/>
    <w:rsid w:val="00C6557A"/>
    <w:rsid w:val="00D875C2"/>
    <w:rsid w:val="00DA02CB"/>
    <w:rsid w:val="00DA76EE"/>
    <w:rsid w:val="00DF2420"/>
    <w:rsid w:val="00FF688D"/>
    <w:rsid w:val="01964C36"/>
    <w:rsid w:val="02DC3EDD"/>
    <w:rsid w:val="04FB2A81"/>
    <w:rsid w:val="12517446"/>
    <w:rsid w:val="163D5BF9"/>
    <w:rsid w:val="31281947"/>
    <w:rsid w:val="340C71B6"/>
    <w:rsid w:val="3830331D"/>
    <w:rsid w:val="4AAA348D"/>
    <w:rsid w:val="4AAB292B"/>
    <w:rsid w:val="4DBA25C8"/>
    <w:rsid w:val="4EC317CF"/>
    <w:rsid w:val="502473D1"/>
    <w:rsid w:val="53926C62"/>
    <w:rsid w:val="576A537F"/>
    <w:rsid w:val="57AE684B"/>
    <w:rsid w:val="5B6519F8"/>
    <w:rsid w:val="5D8544D0"/>
    <w:rsid w:val="620505FA"/>
    <w:rsid w:val="65C866F7"/>
    <w:rsid w:val="6C350865"/>
    <w:rsid w:val="6E042A7B"/>
    <w:rsid w:val="70350E1A"/>
    <w:rsid w:val="73B861AD"/>
    <w:rsid w:val="77300CCA"/>
    <w:rsid w:val="78A9749E"/>
    <w:rsid w:val="7A7C783B"/>
    <w:rsid w:val="7C8C7AF8"/>
    <w:rsid w:val="7F5C0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0"/>
    <w:rPr>
      <w:b/>
    </w:rPr>
  </w:style>
  <w:style w:type="paragraph" w:customStyle="1" w:styleId="8">
    <w:name w:val="样式 首行缩进:  2 字符"/>
    <w:basedOn w:val="1"/>
    <w:qFormat/>
    <w:uiPriority w:val="2"/>
    <w:pPr>
      <w:ind w:firstLine="200"/>
      <w:jc w:val="left"/>
    </w:pPr>
    <w:rPr>
      <w:kern w:val="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335</Words>
  <Characters>1914</Characters>
  <Lines>15</Lines>
  <Paragraphs>4</Paragraphs>
  <TotalTime>59</TotalTime>
  <ScaleCrop>false</ScaleCrop>
  <LinksUpToDate>false</LinksUpToDate>
  <CharactersWithSpaces>2245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2023-09-20T09:31:00Z</dcterms:created>
  <dc:creator>Administrator</dc:creator>
  <cp:lastModifiedBy>孙泽宇</cp:lastModifiedBy>
  <cp:lastPrinted>2022-04-27T03:14:00Z</cp:lastPrinted>
  <dcterms:modified xsi:type="dcterms:W3CDTF">2023-10-11T09:13:54Z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F5D0B555AAAE4658B0602FBE320D2342_13</vt:lpwstr>
  </property>
</Properties>
</file>