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color w:val="000000" w:themeColor="text1"/>
          <w:sz w:val="48"/>
          <w:szCs w:val="48"/>
          <w14:textFill>
            <w14:solidFill>
              <w14:schemeClr w14:val="tx1"/>
            </w14:solidFill>
          </w14:textFill>
        </w:rPr>
      </w:pPr>
      <w:r>
        <w:rPr>
          <w:rFonts w:hint="eastAsia" w:asciiTheme="majorEastAsia" w:hAnsiTheme="majorEastAsia" w:eastAsiaTheme="majorEastAsia"/>
          <w:b/>
          <w:bCs/>
          <w:color w:val="000000" w:themeColor="text1"/>
          <w:sz w:val="48"/>
          <w:szCs w:val="48"/>
          <w14:textFill>
            <w14:solidFill>
              <w14:schemeClr w14:val="tx1"/>
            </w14:solidFill>
          </w14:textFill>
        </w:rPr>
        <w:t>衡南县人大常委会办公室</w:t>
      </w:r>
    </w:p>
    <w:p>
      <w:pPr>
        <w:jc w:val="center"/>
        <w:rPr>
          <w:rFonts w:asciiTheme="majorEastAsia" w:hAnsiTheme="majorEastAsia" w:eastAsiaTheme="majorEastAsia"/>
          <w:b/>
          <w:bCs/>
          <w:color w:val="000000" w:themeColor="text1"/>
          <w:sz w:val="48"/>
          <w:szCs w:val="48"/>
          <w14:textFill>
            <w14:solidFill>
              <w14:schemeClr w14:val="tx1"/>
            </w14:solidFill>
          </w14:textFill>
        </w:rPr>
      </w:pPr>
      <w:r>
        <w:rPr>
          <w:rFonts w:hint="eastAsia" w:asciiTheme="majorEastAsia" w:hAnsiTheme="majorEastAsia" w:eastAsiaTheme="majorEastAsia"/>
          <w:b/>
          <w:bCs/>
          <w:color w:val="000000" w:themeColor="text1"/>
          <w:sz w:val="48"/>
          <w:szCs w:val="48"/>
          <w14:textFill>
            <w14:solidFill>
              <w14:schemeClr w14:val="tx1"/>
            </w14:solidFill>
          </w14:textFill>
        </w:rPr>
        <w:t>2021年度部门整体</w:t>
      </w:r>
      <w:r>
        <w:rPr>
          <w:rFonts w:asciiTheme="majorEastAsia" w:hAnsiTheme="majorEastAsia" w:eastAsiaTheme="majorEastAsia"/>
          <w:b/>
          <w:bCs/>
          <w:color w:val="000000" w:themeColor="text1"/>
          <w:sz w:val="48"/>
          <w:szCs w:val="48"/>
          <w14:textFill>
            <w14:solidFill>
              <w14:schemeClr w14:val="tx1"/>
            </w14:solidFill>
          </w14:textFill>
        </w:rPr>
        <w:t>支出绩效报告</w:t>
      </w:r>
    </w:p>
    <w:p>
      <w:pPr>
        <w:jc w:val="center"/>
        <w:rPr>
          <w:b/>
          <w:bCs/>
          <w:color w:val="000000" w:themeColor="text1"/>
          <w:sz w:val="36"/>
          <w:szCs w:val="36"/>
          <w14:textFill>
            <w14:solidFill>
              <w14:schemeClr w14:val="tx1"/>
            </w14:solidFill>
          </w14:textFill>
        </w:rPr>
      </w:pP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为加强财政预算资金管理，进一步规范预算资金使用，提高财政资金使用效益，根据《衡南县财政局关于开展2021年度财政资金绩效自评工作的通知》(清财绩[2022]32号)要求，我办积极组织，对2021年度本单位整体支出进行了绩效自评，现将具体绩效评价情况报告如下： </w:t>
      </w:r>
    </w:p>
    <w:p>
      <w:pPr>
        <w:adjustRightInd w:val="0"/>
        <w:snapToGrid w:val="0"/>
        <w:spacing w:line="600" w:lineRule="exact"/>
        <w:ind w:firstLine="729" w:firstLineChars="228"/>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一、基本情况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衡南县人大办为全额财政拨款单位，纳入财政会计集中核算和国库集中支付体系，财务制度执行《行政单位会计制度》。</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（一）机构设置情况</w:t>
      </w:r>
    </w:p>
    <w:p>
      <w:pPr>
        <w:widowControl/>
        <w:spacing w:line="480" w:lineRule="auto"/>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衡南县人大及其常委会机关共设立九个机构：1个办事机构、1个工作机构、7个专门委员会。分别是办公室、选举任免联络工作委员会、民族华侨外事委员会、司法和监察司法委员会、财政经济委员会、教育科学文化卫生委员会、农业与农村委员会、环境与资源保护委员会、社会建设委员会。</w:t>
      </w:r>
    </w:p>
    <w:p>
      <w:pPr>
        <w:widowControl/>
        <w:spacing w:line="480" w:lineRule="auto"/>
        <w:ind w:firstLine="640" w:firstLineChars="200"/>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县人大常委会办公室加挂信访办公室、研究室牌子；县人大常委会预算工作委员会与县人大财政经济委员会合署办公；县人大法制委员会与县监察与司法委员会合署办公。</w:t>
      </w:r>
    </w:p>
    <w:p>
      <w:pPr>
        <w:widowControl/>
        <w:spacing w:line="480" w:lineRule="auto"/>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机关党支部、纪检机构和工会组织按有关规定和章程设置。</w:t>
      </w:r>
    </w:p>
    <w:p>
      <w:pPr>
        <w:widowControl/>
        <w:spacing w:line="480" w:lineRule="auto"/>
        <w:ind w:firstLine="645"/>
        <w:jc w:val="left"/>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县人大办下设未独立核算正股级二级机构衡南县人大代表服务中心。</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（二）部门职责情况</w:t>
      </w:r>
    </w:p>
    <w:p>
      <w:pPr>
        <w:spacing w:line="520" w:lineRule="exact"/>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楷体"/>
          <w:b/>
          <w:color w:val="000000" w:themeColor="text1"/>
          <w:sz w:val="32"/>
          <w:szCs w:val="32"/>
          <w14:textFill>
            <w14:solidFill>
              <w14:schemeClr w14:val="tx1"/>
            </w14:solidFill>
          </w14:textFill>
        </w:rPr>
        <w:t>主要工作职责：</w:t>
      </w:r>
      <w:r>
        <w:rPr>
          <w:rFonts w:hint="eastAsia" w:ascii="仿宋" w:hAnsi="仿宋" w:eastAsia="仿宋"/>
          <w:sz w:val="32"/>
          <w:szCs w:val="32"/>
        </w:rPr>
        <w:t>在本行政区域内，保证宪法、法律、行政法规和上级人民代表大会及其常务委员会决议决定的遵守和执行；指导或者主持本级人民代表大会代表的选举；召集本级人民代表大会会议；讨论、决定本行政区域内政治、经济、教育、科学、文化、卫生、环境和资源保护、民政、民族等工作的重大事项；根据本级人民政府的提请，决定对本行政区域内的国民经济和社会发展计划、预算的部分变更；监督本级人民政府、监察委员会、人民法院和人民检察院的工作，联系本级人民代表大会代表，受理人民群众对上述机关和国家工作人员的申诉和意见；其他。</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（三）人员编制情况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2021年年末县人大机关实际在编在岗人员为49人，离退休人员31人。其中在岗人员行政编制人数41人，工勤编制4人，事业编制4人。</w:t>
      </w:r>
    </w:p>
    <w:p>
      <w:pPr>
        <w:spacing w:line="52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二、部门整体支出管理及使用情况</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（一）部门预算收支情况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单位2021年年初各项支出预算批复经费包干数为886.74万元（均为公共财政拨款），其中工资福利支出453.64万元，一般商品服务支出35.2万元，对个人和家庭补助14.4万元，专项经费383.5万元。年中预算调整增加了2021年县乡人大换届选举工作经费、基层人大代表履专项经费、人员异动等经费730.49万元，全年预算指标合计为1617.23万元。</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2021年收到市人大下拨省市代表活动经费21.52万元，</w:t>
      </w:r>
      <w:r>
        <w:rPr>
          <w:rFonts w:hint="eastAsia" w:ascii="仿宋" w:hAnsi="仿宋" w:eastAsia="仿宋" w:cs="仿宋"/>
          <w:sz w:val="32"/>
          <w:szCs w:val="32"/>
        </w:rPr>
        <w:t>老干局拨来退休老干党建活动经费</w:t>
      </w:r>
      <w:r>
        <w:rPr>
          <w:rFonts w:hint="eastAsia" w:ascii="仿宋" w:hAnsi="仿宋" w:eastAsia="仿宋"/>
          <w:color w:val="000000" w:themeColor="text1"/>
          <w:sz w:val="32"/>
          <w:szCs w:val="32"/>
          <w14:textFill>
            <w14:solidFill>
              <w14:schemeClr w14:val="tx1"/>
            </w14:solidFill>
          </w14:textFill>
        </w:rPr>
        <w:t>2.1万元，上年结转结余资金52.68万元，全年决算收入总计为1693.53万元；2021年支出决算数为1693.53万元，年末结转和结余数为 0万元。</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2021年度无基金收支。</w:t>
      </w:r>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（二）支出分类情况</w:t>
      </w:r>
    </w:p>
    <w:p>
      <w:pPr>
        <w:spacing w:line="52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1、基本支出情况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我单位基本支出范围和主要用途包括人员经费和日常公用经费，具体包括：工资福利支出、一般商品和服务支出、资本性支出等。2021年度基本支出的管理和使用情况如下：本级基本支出总额793.58万元，其中工资福利支出759.29万元，对个人和家庭的补助9.36万元，日常公用经费29.47万元。</w:t>
      </w:r>
    </w:p>
    <w:p>
      <w:pPr>
        <w:spacing w:line="520" w:lineRule="exact"/>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2、专项支出情况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2021年我单位专项资金支出899.95万元，主要用于保障县人大会和各乡镇人大会、人大常委会例会和县人大</w:t>
      </w:r>
      <w:r>
        <w:rPr>
          <w:rFonts w:hint="eastAsia" w:ascii="仿宋" w:hAnsi="仿宋" w:eastAsia="仿宋"/>
          <w:color w:val="000000" w:themeColor="text1"/>
          <w:sz w:val="32"/>
          <w:szCs w:val="32"/>
          <w:lang w:val="en-US" w:eastAsia="zh-CN"/>
          <w14:textFill>
            <w14:solidFill>
              <w14:schemeClr w14:val="tx1"/>
            </w14:solidFill>
          </w14:textFill>
        </w:rPr>
        <w:t>常委会</w:t>
      </w:r>
      <w:r>
        <w:rPr>
          <w:rFonts w:hint="eastAsia" w:ascii="仿宋" w:hAnsi="仿宋" w:eastAsia="仿宋"/>
          <w:color w:val="000000" w:themeColor="text1"/>
          <w:sz w:val="32"/>
          <w:szCs w:val="32"/>
          <w14:textFill>
            <w14:solidFill>
              <w14:schemeClr w14:val="tx1"/>
            </w14:solidFill>
          </w14:textFill>
        </w:rPr>
        <w:t>主任会议、各专门委员会会议顺利举行、保障人大执法、代表建议督办及相关的法律监督、人大代表履职能力提升、代表和委员活动及代表活动站所的维护、保障代表补选、省市代表培训、预算/计划/规划等审查、三级人大代表专项工作开展；保障规范性文件备案审查、专项工作评议、工委工作、人大制度研究及宣传、财政在线监督、专项工作评议、代表网格化管理、代表联系群众站所建设、基层人大代表履职等工作开展落实。</w:t>
      </w:r>
      <w:bookmarkStart w:id="0" w:name="_GoBack"/>
      <w:bookmarkEnd w:id="0"/>
    </w:p>
    <w:p>
      <w:pPr>
        <w:spacing w:line="520" w:lineRule="exact"/>
        <w:ind w:firstLine="640" w:firstLineChars="200"/>
        <w:rPr>
          <w:rFonts w:ascii="楷体" w:hAnsi="楷体" w:eastAsia="楷体" w:cs="楷体"/>
          <w:b/>
          <w:color w:val="000000" w:themeColor="text1"/>
          <w:sz w:val="32"/>
          <w:szCs w:val="32"/>
          <w14:textFill>
            <w14:solidFill>
              <w14:schemeClr w14:val="tx1"/>
            </w14:solidFill>
          </w14:textFill>
        </w:rPr>
      </w:pPr>
      <w:r>
        <w:rPr>
          <w:rFonts w:hint="eastAsia" w:ascii="楷体" w:hAnsi="楷体" w:eastAsia="楷体" w:cs="楷体"/>
          <w:b/>
          <w:color w:val="000000" w:themeColor="text1"/>
          <w:sz w:val="32"/>
          <w:szCs w:val="32"/>
          <w14:textFill>
            <w14:solidFill>
              <w14:schemeClr w14:val="tx1"/>
            </w14:solidFill>
          </w14:textFill>
        </w:rPr>
        <w:t>（三）“三公”经费情况</w:t>
      </w:r>
    </w:p>
    <w:p>
      <w:pPr>
        <w:spacing w:line="52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2021年我单位“三公”经费预算控制数为15万元，其中“因公出国（境）费”和“公务用车购置及运行维护费”均为0元，“公务接待费”预算为15万元。2021年实际支出均控制在预算范围内，其中：因公出国（境）费”和“公务用车购置及运行维护费”实际支出为0元，近年因疫情控制原因，来人来访有所减少，“公务接待费”本年度实际支出5.54万元，较上年度减少1.1万元，达到上级每年递减5%的要求。</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三、部门整体支出绩效评价情况</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2021年，根据我单位年初工作规划和重点性工作，围绕县委、县政府中心工作，积极履职，强化管理，较好的完成了年度工作目标。通过加强预算收支的管理，不断建立健全内部管理制度，理顺内部管理流程，部门整体支出管理情况得到了提升，较好的完成了各项目标任务，为促进全县经济发展、社会和谐、民生改善、法治进步作出了积极贡献。</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根据《2021年度部门整体支出绩效自评考核评价表》评分细则，我单位整体支出绩效自评分为</w:t>
      </w:r>
      <w:r>
        <w:rPr>
          <w:rFonts w:hint="eastAsia" w:ascii="仿宋" w:hAnsi="仿宋" w:eastAsia="仿宋"/>
          <w:color w:val="000000" w:themeColor="text1"/>
          <w:sz w:val="32"/>
          <w:szCs w:val="32"/>
          <w14:textFill>
            <w14:solidFill>
              <w14:schemeClr w14:val="tx1"/>
            </w14:solidFill>
          </w14:textFill>
        </w:rPr>
        <w:t>95.3</w:t>
      </w:r>
      <w:r>
        <w:rPr>
          <w:rFonts w:hint="eastAsia" w:ascii="仿宋" w:hAnsi="仿宋" w:eastAsia="仿宋" w:cs="Times New Roman"/>
          <w:color w:val="000000" w:themeColor="text1"/>
          <w:sz w:val="32"/>
          <w:szCs w:val="32"/>
          <w14:textFill>
            <w14:solidFill>
              <w14:schemeClr w14:val="tx1"/>
            </w14:solidFill>
          </w14:textFill>
        </w:rPr>
        <w:t>分，具体指标的自评分详见《2021年度部门整体支出绩效自评考核评价表》。</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四、存在的主要问题</w:t>
      </w:r>
    </w:p>
    <w:p>
      <w:pPr>
        <w:autoSpaceDE w:val="0"/>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pPr>
        <w:spacing w:line="52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五、改进措施和建议</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1、进一步加强内部机构的预算管理意识，严格按照预算编制的相关制度和要求，充分发挥财务监督作用。</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2、进一步提高人员经费和公用经费保障力度，提高预算编制的科学性、合理性、严谨性和可控性。</w:t>
      </w:r>
    </w:p>
    <w:p>
      <w:pPr>
        <w:spacing w:line="52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3、在日常预算管理过程中，进一步加强预算支出的审核、跟踪及预算执行情况分析。</w:t>
      </w: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right="480" w:firstLine="560" w:firstLineChars="200"/>
        <w:jc w:val="right"/>
        <w:rPr>
          <w:rFonts w:ascii="仿宋_GB2312" w:hAnsi="Calibri" w:eastAsia="仿宋_GB2312" w:cs="Times New Roman"/>
          <w:color w:val="000000" w:themeColor="text1"/>
          <w:sz w:val="28"/>
          <w:szCs w:val="28"/>
          <w14:textFill>
            <w14:solidFill>
              <w14:schemeClr w14:val="tx1"/>
            </w14:solidFill>
          </w14:textFill>
        </w:rPr>
      </w:pPr>
    </w:p>
    <w:p>
      <w:pPr>
        <w:spacing w:line="520" w:lineRule="exact"/>
        <w:ind w:firstLine="640" w:firstLineChars="200"/>
        <w:jc w:val="righ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衡南县人大常委会办公室</w:t>
      </w:r>
    </w:p>
    <w:p>
      <w:pPr>
        <w:spacing w:line="520" w:lineRule="exact"/>
        <w:ind w:firstLine="640" w:firstLineChars="200"/>
        <w:jc w:val="right"/>
        <w:rPr>
          <w:rFonts w:cs="黑体" w:asciiTheme="minorEastAsia" w:hAnsiTheme="minorEastAsia"/>
          <w:color w:val="000000" w:themeColor="text1"/>
          <w:kern w:val="0"/>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2022年4月22日</w:t>
      </w:r>
    </w:p>
    <w:p>
      <w:pPr>
        <w:rPr>
          <w:color w:val="000000" w:themeColor="text1"/>
          <w:szCs w:val="30"/>
          <w14:textFill>
            <w14:solidFill>
              <w14:schemeClr w14:val="tx1"/>
            </w14:solidFill>
          </w14:textFill>
        </w:rPr>
      </w:pPr>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285"/>
    <w:rsid w:val="00012DFC"/>
    <w:rsid w:val="00025A16"/>
    <w:rsid w:val="00026DB4"/>
    <w:rsid w:val="0003027D"/>
    <w:rsid w:val="000B7ED1"/>
    <w:rsid w:val="000D72D3"/>
    <w:rsid w:val="00127AB0"/>
    <w:rsid w:val="00131FE3"/>
    <w:rsid w:val="00163107"/>
    <w:rsid w:val="001B6A3C"/>
    <w:rsid w:val="001C0947"/>
    <w:rsid w:val="001C7A5B"/>
    <w:rsid w:val="001E0B7D"/>
    <w:rsid w:val="001F5278"/>
    <w:rsid w:val="002755AE"/>
    <w:rsid w:val="002C43EB"/>
    <w:rsid w:val="002D30A9"/>
    <w:rsid w:val="002D51A5"/>
    <w:rsid w:val="002E62F5"/>
    <w:rsid w:val="002E65D2"/>
    <w:rsid w:val="002F0311"/>
    <w:rsid w:val="003077D1"/>
    <w:rsid w:val="00323A5C"/>
    <w:rsid w:val="0034055A"/>
    <w:rsid w:val="003500B0"/>
    <w:rsid w:val="0035295D"/>
    <w:rsid w:val="0035297A"/>
    <w:rsid w:val="00356647"/>
    <w:rsid w:val="00395155"/>
    <w:rsid w:val="00396E93"/>
    <w:rsid w:val="003B02D7"/>
    <w:rsid w:val="003B227D"/>
    <w:rsid w:val="003B3EA0"/>
    <w:rsid w:val="003C0BF6"/>
    <w:rsid w:val="003E078A"/>
    <w:rsid w:val="003E261E"/>
    <w:rsid w:val="00410B48"/>
    <w:rsid w:val="00432974"/>
    <w:rsid w:val="004725FD"/>
    <w:rsid w:val="00483F55"/>
    <w:rsid w:val="00497AAF"/>
    <w:rsid w:val="004B2B96"/>
    <w:rsid w:val="004B69DC"/>
    <w:rsid w:val="004D4435"/>
    <w:rsid w:val="00507285"/>
    <w:rsid w:val="00521EC5"/>
    <w:rsid w:val="00523EC6"/>
    <w:rsid w:val="00525F9A"/>
    <w:rsid w:val="00533B88"/>
    <w:rsid w:val="00562E02"/>
    <w:rsid w:val="005963BE"/>
    <w:rsid w:val="005A3880"/>
    <w:rsid w:val="005F62EB"/>
    <w:rsid w:val="00620725"/>
    <w:rsid w:val="00630CFC"/>
    <w:rsid w:val="006531C7"/>
    <w:rsid w:val="00665097"/>
    <w:rsid w:val="006802F8"/>
    <w:rsid w:val="006C7353"/>
    <w:rsid w:val="006F1E37"/>
    <w:rsid w:val="006F215C"/>
    <w:rsid w:val="00726ACA"/>
    <w:rsid w:val="0074238B"/>
    <w:rsid w:val="00742F42"/>
    <w:rsid w:val="00760327"/>
    <w:rsid w:val="00773B0A"/>
    <w:rsid w:val="00782039"/>
    <w:rsid w:val="007B2F8F"/>
    <w:rsid w:val="007D5DD8"/>
    <w:rsid w:val="008B1B10"/>
    <w:rsid w:val="008D4096"/>
    <w:rsid w:val="009735E7"/>
    <w:rsid w:val="009933DC"/>
    <w:rsid w:val="00995674"/>
    <w:rsid w:val="009F7995"/>
    <w:rsid w:val="00A234DB"/>
    <w:rsid w:val="00AA2EC1"/>
    <w:rsid w:val="00AC0A23"/>
    <w:rsid w:val="00AC19AD"/>
    <w:rsid w:val="00AF3A7B"/>
    <w:rsid w:val="00B003B2"/>
    <w:rsid w:val="00B1771A"/>
    <w:rsid w:val="00B407D2"/>
    <w:rsid w:val="00B43708"/>
    <w:rsid w:val="00B625AF"/>
    <w:rsid w:val="00BA43ED"/>
    <w:rsid w:val="00BD2DBD"/>
    <w:rsid w:val="00BF6560"/>
    <w:rsid w:val="00C406B9"/>
    <w:rsid w:val="00CB14E0"/>
    <w:rsid w:val="00CE4B74"/>
    <w:rsid w:val="00CE5185"/>
    <w:rsid w:val="00CE6D2E"/>
    <w:rsid w:val="00CF362A"/>
    <w:rsid w:val="00D24514"/>
    <w:rsid w:val="00D66F1C"/>
    <w:rsid w:val="00D7785A"/>
    <w:rsid w:val="00D9096E"/>
    <w:rsid w:val="00D912C8"/>
    <w:rsid w:val="00DB2569"/>
    <w:rsid w:val="00DE353B"/>
    <w:rsid w:val="00E31893"/>
    <w:rsid w:val="00E52E73"/>
    <w:rsid w:val="00EA42F5"/>
    <w:rsid w:val="00EC3150"/>
    <w:rsid w:val="00F20528"/>
    <w:rsid w:val="00F50929"/>
    <w:rsid w:val="00F601D3"/>
    <w:rsid w:val="00F642CD"/>
    <w:rsid w:val="00FA2090"/>
    <w:rsid w:val="00FA3A89"/>
    <w:rsid w:val="00FA56EC"/>
    <w:rsid w:val="00FF49BE"/>
    <w:rsid w:val="00FF688D"/>
    <w:rsid w:val="02DC3EDD"/>
    <w:rsid w:val="0F06475F"/>
    <w:rsid w:val="12517446"/>
    <w:rsid w:val="2365520E"/>
    <w:rsid w:val="33DF74F0"/>
    <w:rsid w:val="4394635A"/>
    <w:rsid w:val="4AAA348D"/>
    <w:rsid w:val="4DBA25C8"/>
    <w:rsid w:val="57E26786"/>
    <w:rsid w:val="5B6519F8"/>
    <w:rsid w:val="68E97B61"/>
    <w:rsid w:val="6AFA7472"/>
    <w:rsid w:val="70350E1A"/>
    <w:rsid w:val="73B861AD"/>
    <w:rsid w:val="74DF14D7"/>
    <w:rsid w:val="77300CCA"/>
    <w:rsid w:val="7F5C0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0"/>
    <w:rPr>
      <w:rFonts w:asciiTheme="minorHAnsi" w:hAnsiTheme="minorHAnsi" w:eastAsiaTheme="minorEastAsia" w:cstheme="minorBidi"/>
      <w:kern w:val="2"/>
      <w:sz w:val="18"/>
      <w:szCs w:val="18"/>
    </w:rPr>
  </w:style>
  <w:style w:type="character" w:customStyle="1" w:styleId="9">
    <w:name w:val="页脚 Char"/>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349</Words>
  <Characters>1991</Characters>
  <Lines>16</Lines>
  <Paragraphs>4</Paragraphs>
  <TotalTime>66</TotalTime>
  <ScaleCrop>false</ScaleCrop>
  <LinksUpToDate>false</LinksUpToDate>
  <CharactersWithSpaces>2336</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2022-04-22T02:19:00Z</dcterms:created>
  <dc:creator>Administrator</dc:creator>
  <cp:lastModifiedBy>茜茜</cp:lastModifiedBy>
  <cp:lastPrinted>2020-07-07T05:29:00Z</cp:lastPrinted>
  <dcterms:modified xsi:type="dcterms:W3CDTF">2023-11-08T05:10:09Z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