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2020年度</w:t>
      </w:r>
    </w:p>
    <w:p>
      <w:pPr>
        <w:pStyle w:val="10"/>
        <w:jc w:val="center"/>
        <w:rPr>
          <w:sz w:val="84"/>
          <w:szCs w:val="84"/>
        </w:rPr>
      </w:pPr>
      <w:r>
        <w:rPr>
          <w:rFonts w:hint="eastAsia"/>
          <w:spacing w:val="1"/>
          <w:w w:val="90"/>
          <w:kern w:val="0"/>
          <w:sz w:val="84"/>
          <w:szCs w:val="84"/>
          <w:fitText w:val="8400" w:id="1795885862"/>
        </w:rPr>
        <w:t>衡南县人大常委会办公</w:t>
      </w:r>
      <w:r>
        <w:rPr>
          <w:rFonts w:hint="eastAsia"/>
          <w:spacing w:val="39"/>
          <w:w w:val="90"/>
          <w:kern w:val="0"/>
          <w:sz w:val="84"/>
          <w:szCs w:val="84"/>
          <w:fitText w:val="8400" w:id="1795885862"/>
        </w:rPr>
        <w:t>室</w:t>
      </w: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spacing w:line="520" w:lineRule="exact"/>
        <w:jc w:val="center"/>
        <w:rPr>
          <w:sz w:val="56"/>
          <w:szCs w:val="56"/>
        </w:rPr>
      </w:pPr>
      <w:r>
        <w:rPr>
          <w:rFonts w:hint="eastAsia"/>
          <w:sz w:val="56"/>
          <w:szCs w:val="56"/>
        </w:rPr>
        <w:t>目录</w:t>
      </w:r>
    </w:p>
    <w:p>
      <w:pPr>
        <w:pStyle w:val="10"/>
        <w:spacing w:line="520" w:lineRule="exact"/>
        <w:rPr>
          <w:rFonts w:ascii="仿宋_GB2312" w:hAnsi="仿宋_GB2312" w:cs="仿宋_GB2312"/>
          <w:b/>
          <w:sz w:val="28"/>
          <w:szCs w:val="28"/>
        </w:rPr>
      </w:pPr>
      <w:r>
        <w:rPr>
          <w:rFonts w:hint="eastAsia"/>
          <w:b/>
          <w:sz w:val="28"/>
          <w:szCs w:val="28"/>
        </w:rPr>
        <w:t>第一部分衡南县人大机关概况</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2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2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2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0"/>
        <w:snapToGrid w:val="0"/>
        <w:spacing w:line="360" w:lineRule="auto"/>
        <w:ind w:firstLine="536" w:firstLineChars="200"/>
        <w:rPr>
          <w:rFonts w:ascii="宋体" w:hAnsi="宋体" w:eastAsia="宋体" w:cs="宋体"/>
          <w:w w:val="96"/>
          <w:sz w:val="28"/>
          <w:szCs w:val="28"/>
        </w:rPr>
      </w:pPr>
      <w:r>
        <w:rPr>
          <w:rFonts w:hint="eastAsia" w:ascii="宋体" w:hAnsi="宋体" w:eastAsia="宋体" w:cs="宋体"/>
          <w:w w:val="96"/>
          <w:sz w:val="28"/>
          <w:szCs w:val="28"/>
        </w:rPr>
        <w:t>一、收入支出决算总体情况说明</w:t>
      </w:r>
    </w:p>
    <w:p>
      <w:pPr>
        <w:adjustRightInd w:val="0"/>
        <w:snapToGrid w:val="0"/>
        <w:spacing w:line="360" w:lineRule="auto"/>
        <w:ind w:firstLine="536" w:firstLineChars="200"/>
        <w:jc w:val="left"/>
        <w:rPr>
          <w:rFonts w:ascii="宋体" w:hAnsi="宋体" w:eastAsia="宋体" w:cs="宋体"/>
          <w:w w:val="96"/>
          <w:sz w:val="28"/>
          <w:szCs w:val="28"/>
        </w:rPr>
      </w:pPr>
      <w:r>
        <w:rPr>
          <w:rFonts w:hint="eastAsia" w:ascii="宋体" w:hAnsi="宋体" w:eastAsia="宋体" w:cs="宋体"/>
          <w:w w:val="96"/>
          <w:sz w:val="28"/>
          <w:szCs w:val="28"/>
        </w:rPr>
        <w:t>二、收入决算情况说明</w:t>
      </w:r>
    </w:p>
    <w:p>
      <w:pPr>
        <w:autoSpaceDE w:val="0"/>
        <w:autoSpaceDN w:val="0"/>
        <w:adjustRightInd w:val="0"/>
        <w:snapToGrid w:val="0"/>
        <w:spacing w:line="360" w:lineRule="auto"/>
        <w:ind w:firstLine="536" w:firstLineChars="200"/>
        <w:jc w:val="left"/>
        <w:rPr>
          <w:rFonts w:ascii="宋体" w:hAnsi="宋体" w:eastAsia="宋体" w:cs="宋体"/>
          <w:color w:val="000000"/>
          <w:w w:val="96"/>
          <w:kern w:val="0"/>
          <w:sz w:val="28"/>
          <w:szCs w:val="28"/>
        </w:rPr>
      </w:pPr>
      <w:r>
        <w:rPr>
          <w:rFonts w:hint="eastAsia" w:ascii="宋体" w:hAnsi="宋体" w:eastAsia="宋体" w:cs="宋体"/>
          <w:color w:val="000000"/>
          <w:w w:val="96"/>
          <w:kern w:val="0"/>
          <w:sz w:val="28"/>
          <w:szCs w:val="28"/>
        </w:rPr>
        <w:t>三、支出决算情况说明</w:t>
      </w:r>
    </w:p>
    <w:p>
      <w:pPr>
        <w:autoSpaceDE w:val="0"/>
        <w:autoSpaceDN w:val="0"/>
        <w:adjustRightInd w:val="0"/>
        <w:snapToGrid w:val="0"/>
        <w:spacing w:line="360" w:lineRule="auto"/>
        <w:ind w:firstLine="536" w:firstLineChars="200"/>
        <w:jc w:val="left"/>
        <w:rPr>
          <w:rFonts w:ascii="宋体" w:hAnsi="宋体" w:eastAsia="宋体" w:cs="宋体"/>
          <w:color w:val="000000"/>
          <w:w w:val="96"/>
          <w:kern w:val="0"/>
          <w:sz w:val="28"/>
          <w:szCs w:val="28"/>
        </w:rPr>
      </w:pPr>
      <w:r>
        <w:rPr>
          <w:rFonts w:hint="eastAsia" w:ascii="宋体" w:hAnsi="宋体" w:eastAsia="宋体" w:cs="宋体"/>
          <w:color w:val="000000"/>
          <w:w w:val="96"/>
          <w:kern w:val="0"/>
          <w:sz w:val="28"/>
          <w:szCs w:val="28"/>
        </w:rPr>
        <w:t>四、财政拨款收入支出决算总体情况说明</w:t>
      </w:r>
    </w:p>
    <w:p>
      <w:pPr>
        <w:autoSpaceDE w:val="0"/>
        <w:autoSpaceDN w:val="0"/>
        <w:adjustRightInd w:val="0"/>
        <w:snapToGrid w:val="0"/>
        <w:spacing w:line="360" w:lineRule="auto"/>
        <w:ind w:firstLine="536" w:firstLineChars="200"/>
        <w:jc w:val="left"/>
        <w:rPr>
          <w:rFonts w:ascii="宋体" w:hAnsi="宋体" w:eastAsia="宋体" w:cs="宋体"/>
          <w:color w:val="000000"/>
          <w:w w:val="96"/>
          <w:kern w:val="0"/>
          <w:sz w:val="28"/>
          <w:szCs w:val="28"/>
        </w:rPr>
      </w:pPr>
      <w:r>
        <w:rPr>
          <w:rFonts w:hint="eastAsia" w:ascii="宋体" w:hAnsi="宋体" w:eastAsia="宋体" w:cs="宋体"/>
          <w:color w:val="000000"/>
          <w:w w:val="96"/>
          <w:kern w:val="0"/>
          <w:sz w:val="28"/>
          <w:szCs w:val="28"/>
        </w:rPr>
        <w:t>五、一般公共预算财政拨款支出决算情况说明</w:t>
      </w:r>
    </w:p>
    <w:p>
      <w:pPr>
        <w:autoSpaceDE w:val="0"/>
        <w:autoSpaceDN w:val="0"/>
        <w:adjustRightInd w:val="0"/>
        <w:snapToGrid w:val="0"/>
        <w:spacing w:line="360" w:lineRule="auto"/>
        <w:ind w:firstLine="536" w:firstLineChars="200"/>
        <w:jc w:val="left"/>
        <w:rPr>
          <w:rFonts w:ascii="宋体" w:hAnsi="宋体" w:eastAsia="宋体" w:cs="宋体"/>
          <w:color w:val="000000"/>
          <w:w w:val="96"/>
          <w:kern w:val="0"/>
          <w:sz w:val="28"/>
          <w:szCs w:val="28"/>
        </w:rPr>
      </w:pPr>
      <w:r>
        <w:rPr>
          <w:rFonts w:hint="eastAsia" w:ascii="宋体" w:hAnsi="宋体" w:eastAsia="宋体" w:cs="宋体"/>
          <w:color w:val="000000"/>
          <w:w w:val="96"/>
          <w:kern w:val="0"/>
          <w:sz w:val="28"/>
          <w:szCs w:val="28"/>
        </w:rPr>
        <w:t>六、一般公共预算财政拨款基本支出决算情况说明</w:t>
      </w:r>
    </w:p>
    <w:p>
      <w:pPr>
        <w:autoSpaceDE w:val="0"/>
        <w:autoSpaceDN w:val="0"/>
        <w:adjustRightInd w:val="0"/>
        <w:snapToGrid w:val="0"/>
        <w:spacing w:line="360" w:lineRule="auto"/>
        <w:ind w:firstLine="536" w:firstLineChars="200"/>
        <w:jc w:val="left"/>
        <w:rPr>
          <w:rFonts w:ascii="宋体" w:hAnsi="宋体" w:eastAsia="宋体" w:cs="宋体"/>
          <w:color w:val="000000"/>
          <w:w w:val="96"/>
          <w:kern w:val="0"/>
          <w:sz w:val="28"/>
          <w:szCs w:val="28"/>
        </w:rPr>
      </w:pPr>
      <w:r>
        <w:rPr>
          <w:rFonts w:hint="eastAsia" w:ascii="宋体" w:hAnsi="宋体" w:eastAsia="宋体" w:cs="宋体"/>
          <w:color w:val="000000"/>
          <w:w w:val="96"/>
          <w:kern w:val="0"/>
          <w:sz w:val="28"/>
          <w:szCs w:val="28"/>
        </w:rPr>
        <w:t>七、一般公共预算财政拨款三公经费支出决算情况说明</w:t>
      </w:r>
    </w:p>
    <w:p>
      <w:pPr>
        <w:autoSpaceDE w:val="0"/>
        <w:autoSpaceDN w:val="0"/>
        <w:adjustRightInd w:val="0"/>
        <w:snapToGrid w:val="0"/>
        <w:spacing w:line="360" w:lineRule="auto"/>
        <w:ind w:firstLine="536" w:firstLineChars="200"/>
        <w:jc w:val="left"/>
        <w:rPr>
          <w:rFonts w:ascii="宋体" w:hAnsi="宋体" w:eastAsia="宋体" w:cs="宋体"/>
          <w:color w:val="000000"/>
          <w:w w:val="96"/>
          <w:kern w:val="0"/>
          <w:sz w:val="28"/>
          <w:szCs w:val="28"/>
        </w:rPr>
      </w:pPr>
      <w:r>
        <w:rPr>
          <w:rFonts w:hint="eastAsia" w:ascii="宋体" w:hAnsi="宋体" w:eastAsia="宋体" w:cs="宋体"/>
          <w:color w:val="000000"/>
          <w:w w:val="96"/>
          <w:kern w:val="0"/>
          <w:sz w:val="28"/>
          <w:szCs w:val="28"/>
        </w:rPr>
        <w:t>八、政府性基金预算收入支出决算情况说明</w:t>
      </w:r>
    </w:p>
    <w:p>
      <w:pPr>
        <w:autoSpaceDE w:val="0"/>
        <w:autoSpaceDN w:val="0"/>
        <w:adjustRightInd w:val="0"/>
        <w:snapToGrid w:val="0"/>
        <w:spacing w:line="360" w:lineRule="auto"/>
        <w:ind w:firstLine="536" w:firstLineChars="200"/>
        <w:jc w:val="left"/>
        <w:rPr>
          <w:rFonts w:ascii="宋体" w:hAnsi="宋体" w:eastAsia="宋体" w:cs="宋体"/>
          <w:color w:val="000000"/>
          <w:w w:val="96"/>
          <w:kern w:val="0"/>
          <w:sz w:val="28"/>
          <w:szCs w:val="28"/>
        </w:rPr>
      </w:pPr>
      <w:r>
        <w:rPr>
          <w:rFonts w:hint="eastAsia" w:ascii="宋体" w:hAnsi="宋体" w:eastAsia="宋体" w:cs="宋体"/>
          <w:color w:val="000000"/>
          <w:w w:val="96"/>
          <w:kern w:val="0"/>
          <w:sz w:val="28"/>
          <w:szCs w:val="28"/>
        </w:rPr>
        <w:t>九、国有资本经营预算财政拨款支出决算情况</w:t>
      </w:r>
    </w:p>
    <w:p>
      <w:pPr>
        <w:autoSpaceDE w:val="0"/>
        <w:autoSpaceDN w:val="0"/>
        <w:adjustRightInd w:val="0"/>
        <w:snapToGrid w:val="0"/>
        <w:spacing w:line="360" w:lineRule="auto"/>
        <w:ind w:firstLine="536" w:firstLineChars="200"/>
        <w:jc w:val="left"/>
        <w:rPr>
          <w:rFonts w:ascii="宋体" w:hAnsi="宋体" w:eastAsia="宋体" w:cs="宋体"/>
          <w:color w:val="000000"/>
          <w:w w:val="96"/>
          <w:kern w:val="0"/>
          <w:sz w:val="28"/>
          <w:szCs w:val="28"/>
        </w:rPr>
      </w:pPr>
      <w:r>
        <w:rPr>
          <w:rFonts w:hint="eastAsia" w:ascii="宋体" w:hAnsi="宋体" w:eastAsia="宋体" w:cs="宋体"/>
          <w:color w:val="000000"/>
          <w:w w:val="96"/>
          <w:kern w:val="0"/>
          <w:sz w:val="28"/>
          <w:szCs w:val="28"/>
        </w:rPr>
        <w:t>十、关于机关运行经费支出说明</w:t>
      </w:r>
    </w:p>
    <w:p>
      <w:pPr>
        <w:autoSpaceDE w:val="0"/>
        <w:autoSpaceDN w:val="0"/>
        <w:adjustRightInd w:val="0"/>
        <w:snapToGrid w:val="0"/>
        <w:spacing w:line="360" w:lineRule="auto"/>
        <w:ind w:firstLine="536" w:firstLineChars="200"/>
        <w:jc w:val="left"/>
        <w:rPr>
          <w:rFonts w:ascii="宋体" w:hAnsi="宋体" w:eastAsia="宋体" w:cs="宋体"/>
          <w:color w:val="000000"/>
          <w:w w:val="96"/>
          <w:kern w:val="0"/>
          <w:sz w:val="28"/>
          <w:szCs w:val="28"/>
        </w:rPr>
      </w:pPr>
      <w:r>
        <w:rPr>
          <w:rFonts w:hint="eastAsia" w:ascii="宋体" w:hAnsi="宋体" w:eastAsia="宋体" w:cs="宋体"/>
          <w:color w:val="000000"/>
          <w:w w:val="96"/>
          <w:kern w:val="0"/>
          <w:sz w:val="28"/>
          <w:szCs w:val="28"/>
        </w:rPr>
        <w:t>十一、一般性支出情况说明</w:t>
      </w:r>
    </w:p>
    <w:p>
      <w:pPr>
        <w:autoSpaceDE w:val="0"/>
        <w:autoSpaceDN w:val="0"/>
        <w:adjustRightInd w:val="0"/>
        <w:snapToGrid w:val="0"/>
        <w:spacing w:line="360" w:lineRule="auto"/>
        <w:ind w:firstLine="536" w:firstLineChars="200"/>
        <w:jc w:val="left"/>
        <w:rPr>
          <w:rFonts w:ascii="宋体" w:hAnsi="宋体" w:eastAsia="宋体" w:cs="宋体"/>
          <w:color w:val="000000"/>
          <w:w w:val="96"/>
          <w:kern w:val="0"/>
          <w:sz w:val="28"/>
          <w:szCs w:val="28"/>
        </w:rPr>
      </w:pPr>
      <w:r>
        <w:rPr>
          <w:rFonts w:hint="eastAsia" w:ascii="宋体" w:hAnsi="宋体" w:eastAsia="宋体" w:cs="宋体"/>
          <w:color w:val="000000"/>
          <w:w w:val="96"/>
          <w:kern w:val="0"/>
          <w:sz w:val="28"/>
          <w:szCs w:val="28"/>
        </w:rPr>
        <w:t>十二、关于政府采购支出说明</w:t>
      </w:r>
    </w:p>
    <w:p>
      <w:pPr>
        <w:autoSpaceDE w:val="0"/>
        <w:autoSpaceDN w:val="0"/>
        <w:adjustRightInd w:val="0"/>
        <w:snapToGrid w:val="0"/>
        <w:spacing w:line="360" w:lineRule="auto"/>
        <w:ind w:firstLine="536" w:firstLineChars="200"/>
        <w:jc w:val="left"/>
        <w:rPr>
          <w:rFonts w:ascii="宋体" w:hAnsi="宋体" w:eastAsia="宋体" w:cs="宋体"/>
          <w:color w:val="000000"/>
          <w:w w:val="96"/>
          <w:kern w:val="0"/>
          <w:sz w:val="28"/>
          <w:szCs w:val="28"/>
        </w:rPr>
      </w:pPr>
      <w:r>
        <w:rPr>
          <w:rFonts w:hint="eastAsia" w:ascii="宋体" w:hAnsi="宋体" w:eastAsia="宋体" w:cs="宋体"/>
          <w:color w:val="000000"/>
          <w:w w:val="96"/>
          <w:kern w:val="0"/>
          <w:sz w:val="28"/>
          <w:szCs w:val="28"/>
        </w:rPr>
        <w:t>十三、关于国有资产占用情况说明</w:t>
      </w:r>
    </w:p>
    <w:p>
      <w:pPr>
        <w:autoSpaceDE w:val="0"/>
        <w:autoSpaceDN w:val="0"/>
        <w:adjustRightInd w:val="0"/>
        <w:snapToGrid w:val="0"/>
        <w:spacing w:line="360" w:lineRule="auto"/>
        <w:ind w:firstLine="536" w:firstLineChars="200"/>
        <w:jc w:val="left"/>
        <w:rPr>
          <w:rFonts w:ascii="黑体" w:hAnsi="黑体" w:eastAsia="黑体" w:cs="黑体"/>
          <w:b/>
          <w:color w:val="000000"/>
          <w:kern w:val="0"/>
          <w:sz w:val="28"/>
          <w:szCs w:val="28"/>
        </w:rPr>
      </w:pPr>
      <w:r>
        <w:rPr>
          <w:rFonts w:hint="eastAsia" w:ascii="宋体" w:hAnsi="宋体" w:eastAsia="宋体" w:cs="宋体"/>
          <w:color w:val="000000"/>
          <w:w w:val="96"/>
          <w:kern w:val="0"/>
          <w:sz w:val="28"/>
          <w:szCs w:val="28"/>
        </w:rPr>
        <w:t>十四、关于2020年度预算绩效情况说明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第四部分名词解释</w:t>
      </w:r>
    </w:p>
    <w:p>
      <w:pPr>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70"/>
          <w:szCs w:val="70"/>
        </w:rPr>
      </w:pPr>
      <w:r>
        <w:rPr>
          <w:rFonts w:hint="eastAsia"/>
          <w:sz w:val="70"/>
          <w:szCs w:val="70"/>
        </w:rPr>
        <w:t>第一部分</w:t>
      </w:r>
    </w:p>
    <w:p>
      <w:pPr>
        <w:pStyle w:val="10"/>
        <w:jc w:val="center"/>
        <w:rPr>
          <w:sz w:val="70"/>
          <w:szCs w:val="70"/>
        </w:rPr>
      </w:pPr>
    </w:p>
    <w:p>
      <w:pPr>
        <w:pStyle w:val="10"/>
        <w:jc w:val="center"/>
        <w:rPr>
          <w:sz w:val="70"/>
          <w:szCs w:val="70"/>
        </w:rPr>
      </w:pPr>
      <w:r>
        <w:rPr>
          <w:rFonts w:hint="eastAsia"/>
          <w:sz w:val="70"/>
          <w:szCs w:val="70"/>
        </w:rPr>
        <w:t>衡南县人大机关</w:t>
      </w:r>
    </w:p>
    <w:p>
      <w:pPr>
        <w:pStyle w:val="10"/>
        <w:jc w:val="center"/>
        <w:rPr>
          <w:spacing w:val="62"/>
          <w:sz w:val="70"/>
          <w:szCs w:val="70"/>
        </w:rPr>
      </w:pPr>
      <w:r>
        <w:rPr>
          <w:rFonts w:hint="eastAsia"/>
          <w:spacing w:val="62"/>
          <w:sz w:val="70"/>
          <w:szCs w:val="70"/>
        </w:rPr>
        <w:t>概况</w:t>
      </w:r>
    </w:p>
    <w:p>
      <w:pPr>
        <w:pStyle w:val="10"/>
        <w:jc w:val="center"/>
        <w:rPr>
          <w:sz w:val="84"/>
          <w:szCs w:val="84"/>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ind w:firstLine="0" w:firstLineChars="0"/>
        <w:jc w:val="left"/>
        <w:rPr>
          <w:rFonts w:ascii="黑体" w:hAnsi="黑体" w:eastAsia="黑体"/>
          <w:sz w:val="32"/>
          <w:szCs w:val="32"/>
        </w:rPr>
      </w:pPr>
    </w:p>
    <w:p>
      <w:pPr>
        <w:pStyle w:val="11"/>
        <w:ind w:firstLine="0" w:firstLineChars="0"/>
        <w:jc w:val="left"/>
        <w:rPr>
          <w:rFonts w:ascii="黑体" w:hAnsi="黑体" w:eastAsia="黑体"/>
          <w:sz w:val="32"/>
          <w:szCs w:val="32"/>
        </w:rPr>
      </w:pPr>
      <w:r>
        <w:rPr>
          <w:rFonts w:hint="eastAsia" w:ascii="黑体" w:hAnsi="黑体" w:eastAsia="黑体"/>
          <w:sz w:val="32"/>
          <w:szCs w:val="32"/>
        </w:rPr>
        <w:t xml:space="preserve">     一、</w:t>
      </w:r>
      <w:r>
        <w:rPr>
          <w:rFonts w:ascii="黑体" w:hAnsi="黑体" w:eastAsia="黑体"/>
          <w:sz w:val="32"/>
          <w:szCs w:val="32"/>
        </w:rPr>
        <w:t>部门职责</w:t>
      </w:r>
    </w:p>
    <w:p>
      <w:pPr>
        <w:ind w:firstLine="643" w:firstLineChars="200"/>
        <w:rPr>
          <w:rFonts w:ascii="仿宋" w:hAnsi="仿宋" w:eastAsia="仿宋"/>
          <w:b/>
          <w:sz w:val="32"/>
          <w:szCs w:val="32"/>
        </w:rPr>
      </w:pPr>
      <w:r>
        <w:rPr>
          <w:rFonts w:hint="eastAsia" w:ascii="仿宋" w:hAnsi="仿宋" w:eastAsia="仿宋"/>
          <w:b/>
          <w:sz w:val="32"/>
          <w:szCs w:val="32"/>
        </w:rPr>
        <w:t>（一）衡南县人大常委会</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主要工作职责：在本行政区域内，保证宪法、法律、行政法规和上级人民代表大会及其常务委员会决议决定的遵守和执行；指导或者主持本级人民代表大会代表的选举；召集本级人民代表大会会议；讨论、决定本行政区域内政治、经济、教育、科学、文化、卫生、环境和资源保护、民政、民族等工作的重大事项；根据本级人民政府的提请，决定对本行政区域内的国民经济和社会发展计划、预算的部分变更；监督本级人民政府、监察委员会、人民法院和人民检察院的工作，联系本级人民代表大会代表，受理人民群众对上述机关和国家工作人员的申诉和意见，其他。</w:t>
      </w:r>
    </w:p>
    <w:p>
      <w:pPr>
        <w:ind w:firstLine="643" w:firstLineChars="200"/>
        <w:rPr>
          <w:rFonts w:ascii="仿宋" w:hAnsi="仿宋" w:eastAsia="仿宋"/>
          <w:b/>
          <w:sz w:val="32"/>
          <w:szCs w:val="32"/>
        </w:rPr>
      </w:pPr>
      <w:r>
        <w:rPr>
          <w:rFonts w:hint="eastAsia" w:ascii="仿宋" w:hAnsi="仿宋" w:eastAsia="仿宋"/>
          <w:b/>
          <w:sz w:val="32"/>
          <w:szCs w:val="32"/>
        </w:rPr>
        <w:t>（二）衡南县人大常委会办公室</w:t>
      </w:r>
    </w:p>
    <w:p>
      <w:pPr>
        <w:ind w:firstLine="640" w:firstLineChars="200"/>
        <w:rPr>
          <w:rFonts w:ascii="仿宋" w:hAnsi="仿宋" w:eastAsia="仿宋"/>
          <w:sz w:val="32"/>
          <w:szCs w:val="32"/>
        </w:rPr>
      </w:pPr>
      <w:r>
        <w:rPr>
          <w:rFonts w:ascii="仿宋" w:hAnsi="仿宋" w:eastAsia="仿宋"/>
          <w:sz w:val="32"/>
          <w:szCs w:val="32"/>
        </w:rPr>
        <w:t>衡南县人大常委会办公室是衡南县人民代表大会常务委员会（以下简称县人大常委会）机关的办事机构，主要职责为：</w:t>
      </w:r>
    </w:p>
    <w:p>
      <w:pPr>
        <w:ind w:firstLine="640" w:firstLineChars="200"/>
        <w:rPr>
          <w:rFonts w:ascii="仿宋" w:hAnsi="仿宋" w:eastAsia="仿宋"/>
          <w:sz w:val="32"/>
          <w:szCs w:val="32"/>
        </w:rPr>
      </w:pPr>
      <w:r>
        <w:rPr>
          <w:rFonts w:ascii="仿宋" w:hAnsi="仿宋" w:eastAsia="仿宋"/>
          <w:sz w:val="32"/>
          <w:szCs w:val="32"/>
        </w:rPr>
        <w:t>1、负责县人民代表大会会议、县人大常委会会议、主任会议和以县人大常委会名义召开的其他会议的准备工作及会议期间的有关服务工作。</w:t>
      </w:r>
    </w:p>
    <w:p>
      <w:pPr>
        <w:ind w:firstLine="640" w:firstLineChars="200"/>
        <w:rPr>
          <w:rFonts w:ascii="仿宋" w:hAnsi="仿宋" w:eastAsia="仿宋"/>
          <w:sz w:val="32"/>
          <w:szCs w:val="32"/>
        </w:rPr>
      </w:pPr>
      <w:r>
        <w:rPr>
          <w:rFonts w:ascii="仿宋" w:hAnsi="仿宋" w:eastAsia="仿宋"/>
          <w:sz w:val="32"/>
          <w:szCs w:val="32"/>
        </w:rPr>
        <w:t>2、负责县人大常委会有关重要文稿、县人大常委会主要领导同志的文稿起草工作和县人大常委会机关公文的办理。</w:t>
      </w:r>
    </w:p>
    <w:p>
      <w:pPr>
        <w:ind w:firstLine="640" w:firstLineChars="200"/>
        <w:rPr>
          <w:rFonts w:ascii="仿宋" w:hAnsi="仿宋" w:eastAsia="仿宋"/>
          <w:sz w:val="32"/>
          <w:szCs w:val="32"/>
        </w:rPr>
      </w:pPr>
      <w:r>
        <w:rPr>
          <w:rFonts w:ascii="仿宋" w:hAnsi="仿宋" w:eastAsia="仿宋"/>
          <w:sz w:val="32"/>
          <w:szCs w:val="32"/>
        </w:rPr>
        <w:t>3、负责党的方针政策、国家法律法规、重大工作部署和领导重要批示贯彻落实情况的督促检查。</w:t>
      </w:r>
    </w:p>
    <w:p>
      <w:pPr>
        <w:ind w:firstLine="640" w:firstLineChars="200"/>
        <w:rPr>
          <w:rFonts w:ascii="仿宋" w:hAnsi="仿宋" w:eastAsia="仿宋"/>
          <w:sz w:val="32"/>
          <w:szCs w:val="32"/>
        </w:rPr>
      </w:pPr>
      <w:r>
        <w:rPr>
          <w:rFonts w:ascii="仿宋" w:hAnsi="仿宋" w:eastAsia="仿宋"/>
          <w:sz w:val="32"/>
          <w:szCs w:val="32"/>
        </w:rPr>
        <w:t>4、负责县人大常委会领导同志重要公务活动的组织安排。</w:t>
      </w:r>
    </w:p>
    <w:p>
      <w:pPr>
        <w:ind w:firstLine="640" w:firstLineChars="200"/>
        <w:rPr>
          <w:rFonts w:ascii="仿宋" w:hAnsi="仿宋" w:eastAsia="仿宋"/>
          <w:sz w:val="32"/>
          <w:szCs w:val="32"/>
        </w:rPr>
      </w:pPr>
      <w:r>
        <w:rPr>
          <w:rFonts w:ascii="仿宋" w:hAnsi="仿宋" w:eastAsia="仿宋"/>
          <w:sz w:val="32"/>
          <w:szCs w:val="32"/>
        </w:rPr>
        <w:t>5、负责县人大常委会机关有关执法检查、视察调研等重大活动的具体组织工作。</w:t>
      </w:r>
    </w:p>
    <w:p>
      <w:pPr>
        <w:ind w:firstLine="640" w:firstLineChars="200"/>
        <w:rPr>
          <w:rFonts w:ascii="仿宋" w:hAnsi="仿宋" w:eastAsia="仿宋"/>
          <w:sz w:val="32"/>
          <w:szCs w:val="32"/>
        </w:rPr>
      </w:pPr>
      <w:r>
        <w:rPr>
          <w:rFonts w:ascii="仿宋" w:hAnsi="仿宋" w:eastAsia="仿宋"/>
          <w:sz w:val="32"/>
          <w:szCs w:val="32"/>
        </w:rPr>
        <w:t>6、负责与“一府一委两院”办公室的工作联系，协调县人大及其常委会机关各部门的工作关系，保持与上级人大常委会机关的经常联系。</w:t>
      </w:r>
    </w:p>
    <w:p>
      <w:pPr>
        <w:ind w:firstLine="640" w:firstLineChars="200"/>
        <w:rPr>
          <w:rFonts w:ascii="仿宋" w:hAnsi="仿宋" w:eastAsia="仿宋"/>
          <w:sz w:val="32"/>
          <w:szCs w:val="32"/>
        </w:rPr>
      </w:pPr>
      <w:r>
        <w:rPr>
          <w:rFonts w:ascii="仿宋" w:hAnsi="仿宋" w:eastAsia="仿宋"/>
          <w:sz w:val="32"/>
          <w:szCs w:val="32"/>
        </w:rPr>
        <w:t>7、统筹协调县人大常委会年度调研工作，组织年度优秀调研报告的评选工作。</w:t>
      </w:r>
    </w:p>
    <w:p>
      <w:pPr>
        <w:ind w:firstLine="640" w:firstLineChars="200"/>
        <w:rPr>
          <w:rFonts w:ascii="仿宋" w:hAnsi="仿宋" w:eastAsia="仿宋"/>
          <w:sz w:val="32"/>
          <w:szCs w:val="32"/>
        </w:rPr>
      </w:pPr>
      <w:r>
        <w:rPr>
          <w:rFonts w:ascii="仿宋" w:hAnsi="仿宋" w:eastAsia="仿宋"/>
          <w:sz w:val="32"/>
          <w:szCs w:val="32"/>
        </w:rPr>
        <w:t>8、围绕全县人大工作的重大问题、县人大常委会工作部署和常委会领导的要求，开展调研，收集信息，反映情况，为县人大及其常委会行使职权提供参考。</w:t>
      </w:r>
    </w:p>
    <w:p>
      <w:pPr>
        <w:ind w:firstLine="640" w:firstLineChars="200"/>
        <w:rPr>
          <w:rFonts w:ascii="仿宋" w:hAnsi="仿宋" w:eastAsia="仿宋"/>
          <w:sz w:val="32"/>
          <w:szCs w:val="32"/>
        </w:rPr>
      </w:pPr>
      <w:r>
        <w:rPr>
          <w:rFonts w:ascii="仿宋" w:hAnsi="仿宋" w:eastAsia="仿宋"/>
          <w:sz w:val="32"/>
          <w:szCs w:val="32"/>
        </w:rPr>
        <w:t>9、承担市人民代表大会会议期间衡南县代表团的文稿服务工作。</w:t>
      </w:r>
    </w:p>
    <w:p>
      <w:pPr>
        <w:ind w:firstLine="640" w:firstLineChars="200"/>
        <w:rPr>
          <w:rFonts w:ascii="仿宋" w:hAnsi="仿宋" w:eastAsia="仿宋"/>
          <w:sz w:val="32"/>
          <w:szCs w:val="32"/>
        </w:rPr>
      </w:pPr>
      <w:r>
        <w:rPr>
          <w:rFonts w:ascii="仿宋" w:hAnsi="仿宋" w:eastAsia="仿宋"/>
          <w:sz w:val="32"/>
          <w:szCs w:val="32"/>
        </w:rPr>
        <w:t>10、负责人民代表大会制度、地方人大工作的理论研究工作。</w:t>
      </w:r>
    </w:p>
    <w:p>
      <w:pPr>
        <w:ind w:firstLine="640" w:firstLineChars="200"/>
        <w:rPr>
          <w:rFonts w:ascii="仿宋" w:hAnsi="仿宋" w:eastAsia="仿宋"/>
          <w:sz w:val="32"/>
          <w:szCs w:val="32"/>
        </w:rPr>
      </w:pPr>
      <w:r>
        <w:rPr>
          <w:rFonts w:ascii="仿宋" w:hAnsi="仿宋" w:eastAsia="仿宋"/>
          <w:sz w:val="32"/>
          <w:szCs w:val="32"/>
        </w:rPr>
        <w:t>11、负责组织开展县人大常委会重大会议、活动和日常工作的宣传报道，以及相关文稿的审核把关。负责全县人大新闻通讯员队伍建设。</w:t>
      </w:r>
    </w:p>
    <w:p>
      <w:pPr>
        <w:ind w:firstLine="640" w:firstLineChars="200"/>
        <w:rPr>
          <w:rFonts w:ascii="仿宋" w:hAnsi="仿宋" w:eastAsia="仿宋"/>
          <w:sz w:val="32"/>
          <w:szCs w:val="32"/>
        </w:rPr>
      </w:pPr>
      <w:r>
        <w:rPr>
          <w:rFonts w:ascii="仿宋" w:hAnsi="仿宋" w:eastAsia="仿宋"/>
          <w:sz w:val="32"/>
          <w:szCs w:val="32"/>
        </w:rPr>
        <w:t>12、负责处理县人大常委会机关的信访工作。</w:t>
      </w:r>
    </w:p>
    <w:p>
      <w:pPr>
        <w:ind w:firstLine="640" w:firstLineChars="200"/>
        <w:rPr>
          <w:rFonts w:ascii="仿宋" w:hAnsi="仿宋" w:eastAsia="仿宋"/>
          <w:sz w:val="32"/>
          <w:szCs w:val="32"/>
        </w:rPr>
      </w:pPr>
      <w:r>
        <w:rPr>
          <w:rFonts w:ascii="仿宋" w:hAnsi="仿宋" w:eastAsia="仿宋"/>
          <w:sz w:val="32"/>
          <w:szCs w:val="32"/>
        </w:rPr>
        <w:t>13、负责县人大常委会机关信息化系统的规划、建设、管理等工作，负责衡南人大微信公众号等新媒体的运营和管理。</w:t>
      </w:r>
    </w:p>
    <w:p>
      <w:pPr>
        <w:ind w:firstLine="640" w:firstLineChars="200"/>
        <w:rPr>
          <w:rFonts w:ascii="仿宋" w:hAnsi="仿宋" w:eastAsia="仿宋"/>
          <w:sz w:val="32"/>
          <w:szCs w:val="32"/>
        </w:rPr>
      </w:pPr>
      <w:r>
        <w:rPr>
          <w:rFonts w:ascii="仿宋" w:hAnsi="仿宋" w:eastAsia="仿宋"/>
          <w:sz w:val="32"/>
          <w:szCs w:val="32"/>
        </w:rPr>
        <w:t>14、会同县人大常委会选举任免联络工作委员会管理县人大代表服务中心和衡南人大代表履职管理服务平台。</w:t>
      </w:r>
    </w:p>
    <w:p>
      <w:pPr>
        <w:ind w:firstLine="640" w:firstLineChars="200"/>
        <w:rPr>
          <w:rFonts w:ascii="仿宋" w:hAnsi="仿宋" w:eastAsia="仿宋"/>
          <w:sz w:val="32"/>
          <w:szCs w:val="32"/>
        </w:rPr>
      </w:pPr>
      <w:r>
        <w:rPr>
          <w:rFonts w:ascii="仿宋" w:hAnsi="仿宋" w:eastAsia="仿宋"/>
          <w:sz w:val="32"/>
          <w:szCs w:val="32"/>
        </w:rPr>
        <w:t>15、负责县人大常委会机关的值班通讯、机要保密、人事劳动、老干管理、党群纪检、后勤保障、治安保卫等工作。</w:t>
      </w:r>
    </w:p>
    <w:p>
      <w:pPr>
        <w:ind w:firstLine="640" w:firstLineChars="200"/>
        <w:rPr>
          <w:rFonts w:ascii="仿宋" w:hAnsi="仿宋" w:eastAsia="仿宋"/>
          <w:sz w:val="32"/>
          <w:szCs w:val="32"/>
        </w:rPr>
      </w:pPr>
      <w:r>
        <w:rPr>
          <w:rFonts w:ascii="仿宋" w:hAnsi="仿宋" w:eastAsia="仿宋"/>
          <w:sz w:val="32"/>
          <w:szCs w:val="32"/>
        </w:rPr>
        <w:t>16、负责全县人大系统干部培训管理的有关工作。</w:t>
      </w:r>
    </w:p>
    <w:p>
      <w:pPr>
        <w:ind w:firstLine="640" w:firstLineChars="200"/>
        <w:rPr>
          <w:rFonts w:ascii="仿宋" w:hAnsi="仿宋" w:eastAsia="仿宋"/>
          <w:sz w:val="32"/>
          <w:szCs w:val="32"/>
        </w:rPr>
      </w:pPr>
      <w:r>
        <w:rPr>
          <w:rFonts w:ascii="仿宋" w:hAnsi="仿宋" w:eastAsia="仿宋"/>
          <w:sz w:val="32"/>
          <w:szCs w:val="32"/>
        </w:rPr>
        <w:t>17、会同有关部门做好上级人大</w:t>
      </w:r>
      <w:r>
        <w:rPr>
          <w:rFonts w:hint="eastAsia" w:ascii="仿宋" w:hAnsi="仿宋" w:eastAsia="仿宋"/>
          <w:sz w:val="32"/>
          <w:szCs w:val="32"/>
          <w:lang w:val="en-US" w:eastAsia="zh-CN"/>
        </w:rPr>
        <w:t>常委会</w:t>
      </w:r>
      <w:r>
        <w:rPr>
          <w:rFonts w:ascii="仿宋" w:hAnsi="仿宋" w:eastAsia="仿宋"/>
          <w:sz w:val="32"/>
          <w:szCs w:val="32"/>
        </w:rPr>
        <w:t>领导和外地县人大</w:t>
      </w:r>
      <w:r>
        <w:rPr>
          <w:rFonts w:hint="eastAsia" w:ascii="仿宋" w:hAnsi="仿宋" w:eastAsia="仿宋"/>
          <w:sz w:val="32"/>
          <w:szCs w:val="32"/>
          <w:lang w:val="en-US" w:eastAsia="zh-CN"/>
        </w:rPr>
        <w:t>常委会</w:t>
      </w:r>
      <w:r>
        <w:rPr>
          <w:rFonts w:ascii="仿宋" w:hAnsi="仿宋" w:eastAsia="仿宋"/>
          <w:sz w:val="32"/>
          <w:szCs w:val="32"/>
        </w:rPr>
        <w:t>领导来衡考察工作期间的公务接待工作。</w:t>
      </w:r>
    </w:p>
    <w:p>
      <w:pPr>
        <w:ind w:firstLine="640" w:firstLineChars="200"/>
        <w:rPr>
          <w:rFonts w:ascii="仿宋" w:hAnsi="仿宋" w:eastAsia="仿宋"/>
          <w:sz w:val="32"/>
          <w:szCs w:val="32"/>
        </w:rPr>
      </w:pPr>
      <w:r>
        <w:rPr>
          <w:rFonts w:ascii="仿宋" w:hAnsi="仿宋" w:eastAsia="仿宋"/>
          <w:sz w:val="32"/>
          <w:szCs w:val="32"/>
        </w:rPr>
        <w:t>18、承办县人大常委会及其</w:t>
      </w:r>
      <w:bookmarkStart w:id="0" w:name="_GoBack"/>
      <w:bookmarkEnd w:id="0"/>
      <w:r>
        <w:rPr>
          <w:rFonts w:ascii="仿宋" w:hAnsi="仿宋" w:eastAsia="仿宋"/>
          <w:sz w:val="32"/>
          <w:szCs w:val="32"/>
        </w:rPr>
        <w:t>主任会议交办的其他事项。</w:t>
      </w: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tabs>
          <w:tab w:val="left" w:pos="0"/>
        </w:tabs>
        <w:snapToGrid w:val="0"/>
        <w:spacing w:line="600" w:lineRule="exact"/>
        <w:ind w:left="567" w:firstLine="640" w:firstLineChars="200"/>
        <w:jc w:val="left"/>
        <w:rPr>
          <w:rFonts w:ascii="仿宋" w:hAnsi="仿宋" w:eastAsia="仿宋"/>
          <w:sz w:val="32"/>
          <w:szCs w:val="32"/>
        </w:rPr>
      </w:pPr>
      <w:r>
        <w:rPr>
          <w:rFonts w:hint="eastAsia" w:asciiTheme="minorEastAsia" w:hAnsiTheme="minorEastAsia"/>
          <w:bCs/>
          <w:kern w:val="0"/>
          <w:sz w:val="32"/>
          <w:szCs w:val="32"/>
        </w:rPr>
        <w:t>（一）内设机构设置。</w:t>
      </w:r>
      <w:r>
        <w:rPr>
          <w:rFonts w:hint="eastAsia" w:ascii="仿宋" w:hAnsi="仿宋" w:eastAsia="仿宋"/>
          <w:sz w:val="32"/>
          <w:szCs w:val="32"/>
        </w:rPr>
        <w:t xml:space="preserve">衡南县人大常委会机关共设立九个机构：1个办事机构、1个工作机构、7个专门委员会，分别是办公室、选举任免联络工作委员会、民族华侨外事委员会、司法和监察司法委员会、财政经济委员会、教育科学文化卫生委员会、农业与农村委员会、环境与资源保护委员会、社会建设委员会。                                         （二） </w:t>
      </w:r>
      <w:r>
        <w:rPr>
          <w:rFonts w:hint="eastAsia" w:asciiTheme="minorEastAsia" w:hAnsiTheme="minorEastAsia"/>
          <w:bCs/>
          <w:kern w:val="0"/>
          <w:sz w:val="32"/>
          <w:szCs w:val="32"/>
        </w:rPr>
        <w:t>决算单位构成。</w:t>
      </w:r>
      <w:r>
        <w:rPr>
          <w:rFonts w:hint="eastAsia" w:ascii="仿宋" w:hAnsi="仿宋" w:eastAsia="仿宋"/>
          <w:sz w:val="32"/>
          <w:szCs w:val="32"/>
        </w:rPr>
        <w:t>衡南县人大机关没有其他二级预算单位，因此纳入2020年部门决算汇总公开单位构成只有单位本级。</w:t>
      </w:r>
    </w:p>
    <w:p>
      <w:pPr>
        <w:widowControl/>
        <w:snapToGrid w:val="0"/>
        <w:spacing w:line="600" w:lineRule="exact"/>
        <w:ind w:firstLine="640"/>
        <w:rPr>
          <w:rFonts w:ascii="仿宋" w:hAnsi="仿宋" w:eastAsia="仿宋"/>
          <w:sz w:val="32"/>
          <w:szCs w:val="32"/>
        </w:rPr>
      </w:pPr>
    </w:p>
    <w:p>
      <w:pPr>
        <w:jc w:val="center"/>
        <w:rPr>
          <w:sz w:val="72"/>
          <w:szCs w:val="72"/>
        </w:rPr>
      </w:pPr>
    </w:p>
    <w:p>
      <w:pPr>
        <w:widowControl/>
        <w:jc w:val="left"/>
        <w:rPr>
          <w:sz w:val="72"/>
          <w:szCs w:val="72"/>
        </w:rPr>
      </w:pPr>
      <w:r>
        <w:rPr>
          <w:sz w:val="72"/>
          <w:szCs w:val="72"/>
        </w:rPr>
        <w:br w:type="page"/>
      </w:r>
    </w:p>
    <w:p>
      <w:pPr>
        <w:jc w:val="center"/>
        <w:rPr>
          <w:sz w:val="72"/>
          <w:szCs w:val="72"/>
        </w:rPr>
      </w:pPr>
    </w:p>
    <w:p>
      <w:pPr>
        <w:jc w:val="center"/>
        <w:rPr>
          <w:sz w:val="72"/>
          <w:szCs w:val="72"/>
        </w:rPr>
      </w:pPr>
    </w:p>
    <w:p>
      <w:pPr>
        <w:jc w:val="center"/>
        <w:rPr>
          <w:sz w:val="72"/>
          <w:szCs w:val="72"/>
        </w:rPr>
      </w:pPr>
    </w:p>
    <w:p>
      <w:pPr>
        <w:pStyle w:val="10"/>
        <w:jc w:val="center"/>
        <w:rPr>
          <w:sz w:val="72"/>
          <w:szCs w:val="72"/>
        </w:rPr>
      </w:pPr>
      <w:r>
        <w:rPr>
          <w:rFonts w:hint="eastAsia"/>
          <w:sz w:val="72"/>
          <w:szCs w:val="72"/>
        </w:rPr>
        <w:t>第二部分</w:t>
      </w:r>
    </w:p>
    <w:p>
      <w:pPr>
        <w:pStyle w:val="10"/>
        <w:jc w:val="center"/>
        <w:rPr>
          <w:sz w:val="72"/>
          <w:szCs w:val="72"/>
        </w:rPr>
      </w:pPr>
    </w:p>
    <w:p>
      <w:pPr>
        <w:pStyle w:val="10"/>
        <w:jc w:val="center"/>
        <w:rPr>
          <w:sz w:val="72"/>
          <w:szCs w:val="72"/>
        </w:rPr>
      </w:pPr>
      <w:r>
        <w:rPr>
          <w:rFonts w:hint="eastAsia"/>
          <w:sz w:val="72"/>
          <w:szCs w:val="72"/>
        </w:rPr>
        <w:t>部门决算表</w:t>
      </w:r>
    </w:p>
    <w:p>
      <w:pPr>
        <w:pStyle w:val="10"/>
        <w:jc w:val="center"/>
        <w:rPr>
          <w:sz w:val="72"/>
          <w:szCs w:val="72"/>
        </w:rPr>
      </w:pPr>
    </w:p>
    <w:p>
      <w:pPr>
        <w:pStyle w:val="10"/>
        <w:jc w:val="center"/>
        <w:rPr>
          <w:rFonts w:ascii="宋体" w:hAnsi="宋体" w:eastAsia="宋体" w:cs="宋体"/>
          <w:sz w:val="32"/>
          <w:szCs w:val="32"/>
        </w:rPr>
      </w:pPr>
      <w:r>
        <w:rPr>
          <w:rFonts w:hint="eastAsia" w:ascii="宋体" w:hAnsi="宋体" w:eastAsia="宋体" w:cs="宋体"/>
          <w:sz w:val="32"/>
          <w:szCs w:val="32"/>
        </w:rPr>
        <w:t>(部门决算公示表附后)</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1440" w:right="1531" w:bottom="1440" w:left="1531"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pacing w:val="1"/>
          <w:w w:val="91"/>
          <w:kern w:val="0"/>
          <w:sz w:val="70"/>
          <w:szCs w:val="70"/>
          <w:fitText w:val="7700" w:id="1"/>
        </w:rPr>
        <w:t>20</w:t>
      </w:r>
      <w:r>
        <w:rPr>
          <w:rFonts w:hint="eastAsia"/>
          <w:spacing w:val="1"/>
          <w:w w:val="91"/>
          <w:kern w:val="0"/>
          <w:sz w:val="70"/>
          <w:szCs w:val="70"/>
          <w:fitText w:val="7700" w:id="1"/>
        </w:rPr>
        <w:t>20年度部门决算情况说</w:t>
      </w:r>
      <w:r>
        <w:rPr>
          <w:rFonts w:hint="eastAsia"/>
          <w:spacing w:val="30"/>
          <w:w w:val="91"/>
          <w:kern w:val="0"/>
          <w:sz w:val="70"/>
          <w:szCs w:val="70"/>
          <w:fitText w:val="7700" w:id="1"/>
        </w:rPr>
        <w:t>明</w:t>
      </w:r>
    </w:p>
    <w:p>
      <w:pPr>
        <w:widowControl/>
        <w:jc w:val="left"/>
        <w:rPr>
          <w:rFonts w:ascii="黑体" w:eastAsia="黑体" w:cs="黑体"/>
          <w:color w:val="000000"/>
          <w:kern w:val="0"/>
          <w:sz w:val="70"/>
          <w:szCs w:val="70"/>
        </w:rPr>
      </w:pPr>
      <w:r>
        <w:rPr>
          <w:sz w:val="70"/>
          <w:szCs w:val="70"/>
        </w:rPr>
        <w:br w:type="page"/>
      </w: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ascii="仿宋" w:hAnsi="仿宋" w:eastAsia="仿宋"/>
          <w:sz w:val="32"/>
          <w:szCs w:val="32"/>
        </w:rPr>
      </w:pPr>
      <w:r>
        <w:rPr>
          <w:rFonts w:hint="eastAsia" w:ascii="仿宋" w:hAnsi="仿宋" w:eastAsia="仿宋"/>
          <w:sz w:val="32"/>
          <w:szCs w:val="32"/>
        </w:rPr>
        <w:t>2020 年度收、支总计1046.91万元。与2019年相比，增加64.74万元，增长6.59%，主要是年中预算调增了基层代表履职专项经费、人员异动等因素。</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仿宋" w:hAnsi="仿宋" w:eastAsia="仿宋"/>
          <w:sz w:val="32"/>
          <w:szCs w:val="32"/>
        </w:rPr>
      </w:pPr>
      <w:r>
        <w:rPr>
          <w:rFonts w:hint="eastAsia" w:ascii="仿宋" w:hAnsi="仿宋" w:eastAsia="仿宋"/>
          <w:sz w:val="32"/>
          <w:szCs w:val="32"/>
        </w:rPr>
        <w:t>本年收入合计1020.7万元，其中：2020年财政拨款收入999.76万元，占97.95%；其他收入20.94万元（市人大下拨省市代表活动工作经费20.08万元、其他收入0.87万元），占2.05%。</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仿宋" w:hAnsi="仿宋" w:eastAsia="仿宋"/>
          <w:sz w:val="32"/>
          <w:szCs w:val="32"/>
        </w:rPr>
      </w:pPr>
      <w:r>
        <w:rPr>
          <w:rFonts w:hint="eastAsia" w:ascii="仿宋" w:hAnsi="仿宋" w:eastAsia="仿宋"/>
          <w:sz w:val="32"/>
          <w:szCs w:val="32"/>
        </w:rPr>
        <w:t>本年支出合计994.23万元，其中：基本支出473.95万元，占47.67%；项目支出520.28万元，占52.33%。</w:t>
      </w:r>
    </w:p>
    <w:p>
      <w:pPr>
        <w:pStyle w:val="10"/>
        <w:rPr>
          <w:rFonts w:hAnsi="黑体"/>
          <w:b/>
          <w:sz w:val="32"/>
          <w:szCs w:val="32"/>
        </w:rPr>
      </w:pPr>
      <w:r>
        <w:rPr>
          <w:rFonts w:hint="eastAsia" w:hAnsi="黑体"/>
          <w:b/>
          <w:sz w:val="32"/>
          <w:szCs w:val="32"/>
        </w:rPr>
        <w:t>四、财政拨款收入支出决算总体情况说明</w:t>
      </w:r>
    </w:p>
    <w:p>
      <w:pPr>
        <w:pStyle w:val="10"/>
        <w:ind w:firstLine="640" w:firstLineChars="200"/>
        <w:rPr>
          <w:rFonts w:ascii="仿宋" w:hAnsi="仿宋" w:eastAsia="仿宋"/>
          <w:sz w:val="32"/>
          <w:szCs w:val="32"/>
        </w:rPr>
      </w:pPr>
      <w:r>
        <w:rPr>
          <w:rFonts w:hint="eastAsia" w:ascii="仿宋" w:hAnsi="仿宋" w:eastAsia="仿宋"/>
          <w:sz w:val="32"/>
          <w:szCs w:val="32"/>
        </w:rPr>
        <w:t>2020年度财政拨款收、支总计1025.97万元，与2019年相比，增加52.35万元，增长5.38%，主要是年中预算调增了基层代表履职专项经费、人员异动等因素。</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640" w:firstLineChars="200"/>
        <w:rPr>
          <w:rFonts w:ascii="仿宋" w:hAnsi="仿宋" w:eastAsia="仿宋"/>
          <w:sz w:val="32"/>
          <w:szCs w:val="32"/>
        </w:rPr>
      </w:pPr>
      <w:r>
        <w:rPr>
          <w:rFonts w:hint="eastAsia" w:ascii="仿宋" w:hAnsi="仿宋" w:eastAsia="仿宋"/>
          <w:sz w:val="32"/>
          <w:szCs w:val="32"/>
        </w:rPr>
        <w:t>2020年度财政拨款支出978.43万元，占本年支出合计的98.41%，与2019年相比，财政拨款支出增加31.02万元，增长3.27%，主要是年中预算调整基层代表履职专项经费、人员异动等因素。</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仿宋" w:hAnsi="仿宋" w:eastAsia="仿宋"/>
          <w:sz w:val="32"/>
          <w:szCs w:val="32"/>
        </w:rPr>
      </w:pPr>
      <w:r>
        <w:rPr>
          <w:rFonts w:hint="eastAsia" w:ascii="仿宋" w:hAnsi="仿宋" w:eastAsia="仿宋"/>
          <w:sz w:val="32"/>
          <w:szCs w:val="32"/>
        </w:rPr>
        <w:t>2020年度财政拨款支出978.43万元，主要用于以下方面：一般公共服务（类）支出894.08万元，占91.38%；社会保障和就业（类）支出51.28万元，占5.24%;卫生健康（类）支出14.92万元，占1.52%；住房保障（类）支出18.15万元，占1.86%。</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640" w:firstLineChars="200"/>
        <w:rPr>
          <w:rFonts w:ascii="仿宋" w:hAnsi="仿宋" w:eastAsia="仿宋"/>
          <w:sz w:val="32"/>
          <w:szCs w:val="32"/>
        </w:rPr>
      </w:pPr>
      <w:r>
        <w:rPr>
          <w:rFonts w:hint="eastAsia" w:ascii="仿宋" w:hAnsi="仿宋" w:eastAsia="仿宋"/>
          <w:sz w:val="32"/>
          <w:szCs w:val="32"/>
        </w:rPr>
        <w:t>2020年度财政拨款支出年初预算数为887.41万元，支出决算数为978.43万元，完成年初预算的110.26%，其中：</w:t>
      </w:r>
    </w:p>
    <w:p>
      <w:pPr>
        <w:pStyle w:val="10"/>
        <w:ind w:firstLine="640" w:firstLineChars="200"/>
        <w:rPr>
          <w:rFonts w:ascii="仿宋" w:hAnsi="仿宋" w:eastAsia="仿宋"/>
          <w:sz w:val="32"/>
          <w:szCs w:val="32"/>
        </w:rPr>
      </w:pPr>
      <w:r>
        <w:rPr>
          <w:rFonts w:hint="eastAsia" w:ascii="仿宋" w:hAnsi="仿宋" w:eastAsia="仿宋"/>
          <w:sz w:val="32"/>
          <w:szCs w:val="32"/>
        </w:rPr>
        <w:t>1、一般公共服务（类）人大事务（款）行政运行（项）。</w:t>
      </w:r>
    </w:p>
    <w:p>
      <w:pPr>
        <w:pStyle w:val="10"/>
        <w:ind w:firstLine="640" w:firstLineChars="200"/>
        <w:rPr>
          <w:rFonts w:ascii="仿宋" w:hAnsi="仿宋" w:eastAsia="仿宋"/>
          <w:sz w:val="32"/>
          <w:szCs w:val="32"/>
        </w:rPr>
      </w:pPr>
      <w:r>
        <w:rPr>
          <w:rFonts w:hint="eastAsia" w:ascii="仿宋" w:hAnsi="仿宋" w:eastAsia="仿宋"/>
          <w:sz w:val="32"/>
          <w:szCs w:val="32"/>
        </w:rPr>
        <w:t>年初预算为340.98万元，支出决算为372.92万元，完成年初预算的109.37%，决算数大于年初预算数的主要原因是2020年预算执行中人员异动及工资普调、职级晋升等。</w:t>
      </w:r>
    </w:p>
    <w:p>
      <w:pPr>
        <w:pStyle w:val="10"/>
        <w:ind w:firstLine="640" w:firstLineChars="200"/>
        <w:rPr>
          <w:rFonts w:ascii="仿宋" w:hAnsi="仿宋" w:eastAsia="仿宋"/>
          <w:sz w:val="32"/>
          <w:szCs w:val="32"/>
        </w:rPr>
      </w:pPr>
      <w:r>
        <w:rPr>
          <w:rFonts w:hint="eastAsia" w:ascii="仿宋" w:hAnsi="仿宋" w:eastAsia="仿宋"/>
          <w:sz w:val="32"/>
          <w:szCs w:val="32"/>
        </w:rPr>
        <w:t>2、一般公共服务（类）人大事务（款）人大会议（项）。</w:t>
      </w:r>
    </w:p>
    <w:p>
      <w:pPr>
        <w:pStyle w:val="10"/>
        <w:ind w:firstLine="640" w:firstLineChars="200"/>
        <w:rPr>
          <w:rFonts w:ascii="仿宋" w:hAnsi="仿宋" w:eastAsia="仿宋"/>
          <w:sz w:val="32"/>
          <w:szCs w:val="32"/>
        </w:rPr>
      </w:pPr>
      <w:r>
        <w:rPr>
          <w:rFonts w:hint="eastAsia" w:ascii="仿宋" w:hAnsi="仿宋" w:eastAsia="仿宋"/>
          <w:sz w:val="32"/>
          <w:szCs w:val="32"/>
        </w:rPr>
        <w:t>年初预算为92万元，支出决算为91.66万元，完成年初预算的99.63%，决算数与年初预算数基本持平。</w:t>
      </w:r>
    </w:p>
    <w:p>
      <w:pPr>
        <w:pStyle w:val="10"/>
        <w:ind w:firstLine="640" w:firstLineChars="200"/>
        <w:rPr>
          <w:rFonts w:ascii="仿宋" w:hAnsi="仿宋" w:eastAsia="仿宋"/>
          <w:sz w:val="32"/>
          <w:szCs w:val="32"/>
        </w:rPr>
      </w:pPr>
      <w:r>
        <w:rPr>
          <w:rFonts w:hint="eastAsia" w:ascii="仿宋" w:hAnsi="仿宋" w:eastAsia="仿宋"/>
          <w:sz w:val="32"/>
          <w:szCs w:val="32"/>
        </w:rPr>
        <w:t>3、一般公共服务（类）人大事务（款）人大监督（项）。</w:t>
      </w:r>
    </w:p>
    <w:p>
      <w:pPr>
        <w:pStyle w:val="10"/>
        <w:ind w:firstLine="640" w:firstLineChars="200"/>
        <w:rPr>
          <w:rFonts w:ascii="仿宋" w:hAnsi="仿宋" w:eastAsia="仿宋"/>
          <w:sz w:val="32"/>
          <w:szCs w:val="32"/>
        </w:rPr>
      </w:pPr>
      <w:r>
        <w:rPr>
          <w:rFonts w:hint="eastAsia" w:ascii="仿宋" w:hAnsi="仿宋" w:eastAsia="仿宋"/>
          <w:sz w:val="32"/>
          <w:szCs w:val="32"/>
        </w:rPr>
        <w:t>年初预算为32.5万元，支出决算为54.93万元，完成年初预算的169%，决算数大于年初预算数的主要原因是按规定使用了上年结转资金。</w:t>
      </w:r>
    </w:p>
    <w:p>
      <w:pPr>
        <w:pStyle w:val="10"/>
        <w:ind w:firstLine="640" w:firstLineChars="200"/>
        <w:rPr>
          <w:rFonts w:ascii="仿宋" w:hAnsi="仿宋" w:eastAsia="仿宋"/>
          <w:sz w:val="32"/>
          <w:szCs w:val="32"/>
        </w:rPr>
      </w:pPr>
      <w:r>
        <w:rPr>
          <w:rFonts w:hint="eastAsia" w:ascii="仿宋" w:hAnsi="仿宋" w:eastAsia="仿宋"/>
          <w:sz w:val="32"/>
          <w:szCs w:val="32"/>
        </w:rPr>
        <w:t>4、一般公共服务（类）人大事务（款）人大代表履职能力提升（项）。</w:t>
      </w:r>
    </w:p>
    <w:p>
      <w:pPr>
        <w:pStyle w:val="10"/>
        <w:ind w:firstLine="640" w:firstLineChars="200"/>
        <w:rPr>
          <w:rFonts w:ascii="仿宋" w:hAnsi="仿宋" w:eastAsia="仿宋"/>
          <w:sz w:val="32"/>
          <w:szCs w:val="32"/>
        </w:rPr>
      </w:pPr>
      <w:r>
        <w:rPr>
          <w:rFonts w:hint="eastAsia" w:ascii="仿宋" w:hAnsi="仿宋" w:eastAsia="仿宋"/>
          <w:sz w:val="32"/>
          <w:szCs w:val="32"/>
        </w:rPr>
        <w:t>年初预算为29万元，支出决算为52.60万元，完成年初预算的181.38%，决算数大于年初预算数的主要原因是按规定使用了上年结转资金。</w:t>
      </w:r>
    </w:p>
    <w:p>
      <w:pPr>
        <w:pStyle w:val="10"/>
        <w:ind w:firstLine="640" w:firstLineChars="200"/>
        <w:rPr>
          <w:rFonts w:ascii="仿宋" w:hAnsi="仿宋" w:eastAsia="仿宋"/>
          <w:sz w:val="32"/>
          <w:szCs w:val="32"/>
        </w:rPr>
      </w:pPr>
      <w:r>
        <w:rPr>
          <w:rFonts w:hint="eastAsia" w:ascii="仿宋" w:hAnsi="仿宋" w:eastAsia="仿宋"/>
          <w:sz w:val="32"/>
          <w:szCs w:val="32"/>
        </w:rPr>
        <w:t>5、一般公共服务（类）人大事务（款）代表工作（项）。</w:t>
      </w:r>
    </w:p>
    <w:p>
      <w:pPr>
        <w:pStyle w:val="10"/>
        <w:ind w:firstLine="640" w:firstLineChars="200"/>
        <w:rPr>
          <w:rFonts w:ascii="仿宋" w:hAnsi="仿宋" w:eastAsia="仿宋"/>
          <w:sz w:val="32"/>
          <w:szCs w:val="32"/>
        </w:rPr>
      </w:pPr>
      <w:r>
        <w:rPr>
          <w:rFonts w:hint="eastAsia" w:ascii="仿宋" w:hAnsi="仿宋" w:eastAsia="仿宋"/>
          <w:sz w:val="32"/>
          <w:szCs w:val="32"/>
        </w:rPr>
        <w:t>年初预算为48.5万元，支出决算为38.80万元，完成年初预算的80%，决算数小于年初预算数的主要原因是厉行节约，据实列支。</w:t>
      </w:r>
    </w:p>
    <w:p>
      <w:pPr>
        <w:pStyle w:val="10"/>
        <w:ind w:firstLine="640" w:firstLineChars="200"/>
        <w:rPr>
          <w:rFonts w:ascii="仿宋" w:hAnsi="仿宋" w:eastAsia="仿宋"/>
          <w:sz w:val="32"/>
          <w:szCs w:val="32"/>
        </w:rPr>
      </w:pPr>
      <w:r>
        <w:rPr>
          <w:rFonts w:hint="eastAsia" w:ascii="仿宋" w:hAnsi="仿宋" w:eastAsia="仿宋"/>
          <w:sz w:val="32"/>
          <w:szCs w:val="32"/>
        </w:rPr>
        <w:t>6、一般公共服务（类）人大事务（款）其他人大事务支出（项）。</w:t>
      </w:r>
    </w:p>
    <w:p>
      <w:pPr>
        <w:pStyle w:val="10"/>
        <w:ind w:firstLine="640" w:firstLineChars="200"/>
        <w:rPr>
          <w:rFonts w:ascii="仿宋" w:hAnsi="仿宋" w:eastAsia="仿宋"/>
          <w:sz w:val="32"/>
          <w:szCs w:val="32"/>
        </w:rPr>
      </w:pPr>
      <w:r>
        <w:rPr>
          <w:rFonts w:hint="eastAsia" w:ascii="仿宋" w:hAnsi="仿宋" w:eastAsia="仿宋"/>
          <w:sz w:val="32"/>
          <w:szCs w:val="32"/>
        </w:rPr>
        <w:t>年初预算为143.5万元，支出决算为266.50万元，完成年初预算的185.71%，决算数大于年初预算数的主要原因是年中预算调增了基层代表履职专项经费。</w:t>
      </w:r>
    </w:p>
    <w:p>
      <w:pPr>
        <w:pStyle w:val="10"/>
        <w:ind w:firstLine="640" w:firstLineChars="200"/>
        <w:rPr>
          <w:rFonts w:ascii="仿宋" w:hAnsi="仿宋" w:eastAsia="仿宋"/>
          <w:sz w:val="32"/>
          <w:szCs w:val="32"/>
        </w:rPr>
      </w:pPr>
      <w:r>
        <w:rPr>
          <w:rFonts w:hint="eastAsia" w:ascii="仿宋" w:hAnsi="仿宋" w:eastAsia="仿宋"/>
          <w:sz w:val="32"/>
          <w:szCs w:val="32"/>
        </w:rPr>
        <w:t>7、社会保障和就业支出（类）行政事业单位离退休(款)机关事业单位基本养老保险缴费支出（项）</w:t>
      </w:r>
    </w:p>
    <w:p>
      <w:pPr>
        <w:pStyle w:val="10"/>
        <w:ind w:firstLine="640" w:firstLineChars="200"/>
        <w:rPr>
          <w:rFonts w:ascii="仿宋" w:hAnsi="仿宋" w:eastAsia="仿宋"/>
          <w:sz w:val="32"/>
          <w:szCs w:val="32"/>
        </w:rPr>
      </w:pPr>
      <w:r>
        <w:rPr>
          <w:rFonts w:hint="eastAsia" w:ascii="仿宋" w:hAnsi="仿宋" w:eastAsia="仿宋"/>
          <w:sz w:val="32"/>
          <w:szCs w:val="32"/>
        </w:rPr>
        <w:t>年初预算为52.46万元，支出决算为42.59万元，完成年初预算的81.19%，决算数小于年初预算数的主要原因是本年度养老保险款项暂未缴清，转到下年度结算。</w:t>
      </w:r>
    </w:p>
    <w:p>
      <w:pPr>
        <w:pStyle w:val="10"/>
        <w:ind w:firstLine="640" w:firstLineChars="200"/>
        <w:rPr>
          <w:rFonts w:ascii="仿宋" w:hAnsi="仿宋" w:eastAsia="仿宋"/>
          <w:sz w:val="32"/>
          <w:szCs w:val="32"/>
        </w:rPr>
      </w:pPr>
      <w:r>
        <w:rPr>
          <w:rFonts w:hint="eastAsia" w:ascii="仿宋" w:hAnsi="仿宋" w:eastAsia="仿宋"/>
          <w:sz w:val="32"/>
          <w:szCs w:val="32"/>
        </w:rPr>
        <w:t>8、社会保障和就业支出（类）抚恤(款)其他优抚支出（项）</w:t>
      </w:r>
    </w:p>
    <w:p>
      <w:pPr>
        <w:pStyle w:val="10"/>
        <w:ind w:firstLine="640" w:firstLineChars="200"/>
        <w:rPr>
          <w:rFonts w:ascii="仿宋" w:hAnsi="仿宋" w:eastAsia="仿宋"/>
          <w:sz w:val="32"/>
          <w:szCs w:val="32"/>
        </w:rPr>
      </w:pPr>
      <w:r>
        <w:rPr>
          <w:rFonts w:hint="eastAsia" w:ascii="仿宋" w:hAnsi="仿宋" w:eastAsia="仿宋"/>
          <w:sz w:val="32"/>
          <w:szCs w:val="32"/>
        </w:rPr>
        <w:t>年初预算为3.53万元，支出决算为7.23万元，完成年初预算的204.82%，决算数大于年初预算数的主要原因是本年度根据政策抚恤支出标准调整。</w:t>
      </w:r>
    </w:p>
    <w:p>
      <w:pPr>
        <w:pStyle w:val="10"/>
        <w:ind w:firstLine="640" w:firstLineChars="200"/>
        <w:rPr>
          <w:rFonts w:ascii="仿宋" w:hAnsi="仿宋" w:eastAsia="仿宋"/>
          <w:sz w:val="32"/>
          <w:szCs w:val="32"/>
        </w:rPr>
      </w:pPr>
      <w:r>
        <w:rPr>
          <w:rFonts w:hint="eastAsia" w:ascii="仿宋" w:hAnsi="仿宋" w:eastAsia="仿宋"/>
          <w:sz w:val="32"/>
          <w:szCs w:val="32"/>
        </w:rPr>
        <w:t>9、社会保障和就业支出（类）财政对其他社会保障基金的补助(款)财政对工伤保险基金的补助（项）</w:t>
      </w:r>
    </w:p>
    <w:p>
      <w:pPr>
        <w:pStyle w:val="10"/>
        <w:ind w:firstLine="640" w:firstLineChars="200"/>
        <w:rPr>
          <w:rFonts w:ascii="仿宋" w:hAnsi="仿宋" w:eastAsia="仿宋"/>
          <w:sz w:val="32"/>
          <w:szCs w:val="32"/>
        </w:rPr>
      </w:pPr>
      <w:r>
        <w:rPr>
          <w:rFonts w:hint="eastAsia" w:ascii="仿宋" w:hAnsi="仿宋" w:eastAsia="仿宋"/>
          <w:sz w:val="32"/>
          <w:szCs w:val="32"/>
        </w:rPr>
        <w:t>年初预算为2.01万元，支出决算为1.45万元，完成年初预算的72.14%，决算数小于年初预算数的主要原因是本年度工伤保险款项暂未缴清，转到下年度结算。</w:t>
      </w:r>
    </w:p>
    <w:p>
      <w:pPr>
        <w:pStyle w:val="10"/>
        <w:ind w:firstLine="640" w:firstLineChars="200"/>
        <w:rPr>
          <w:rFonts w:ascii="仿宋" w:hAnsi="仿宋" w:eastAsia="仿宋"/>
          <w:sz w:val="32"/>
          <w:szCs w:val="32"/>
        </w:rPr>
      </w:pPr>
      <w:r>
        <w:rPr>
          <w:rFonts w:hint="eastAsia" w:ascii="仿宋" w:hAnsi="仿宋" w:eastAsia="仿宋"/>
          <w:sz w:val="32"/>
          <w:szCs w:val="32"/>
        </w:rPr>
        <w:t>10、卫生健康支出（类）行政事业单位医疗(款)行政事业单位医疗（项）</w:t>
      </w:r>
    </w:p>
    <w:p>
      <w:pPr>
        <w:pStyle w:val="10"/>
        <w:ind w:firstLine="640" w:firstLineChars="200"/>
        <w:rPr>
          <w:rFonts w:ascii="仿宋" w:hAnsi="仿宋" w:eastAsia="仿宋"/>
          <w:sz w:val="32"/>
          <w:szCs w:val="32"/>
        </w:rPr>
      </w:pPr>
      <w:r>
        <w:rPr>
          <w:rFonts w:hint="eastAsia" w:ascii="仿宋" w:hAnsi="仿宋" w:eastAsia="仿宋"/>
          <w:sz w:val="32"/>
          <w:szCs w:val="32"/>
        </w:rPr>
        <w:t>年初预算为17.55万元，支出决算为14.92万元，完成年初预算的85%，决算数小于年初预算数的主要原因是本年度医疗保险款项暂未缴清，转到下年度结算。</w:t>
      </w:r>
    </w:p>
    <w:p>
      <w:pPr>
        <w:pStyle w:val="10"/>
        <w:ind w:firstLine="640" w:firstLineChars="200"/>
        <w:rPr>
          <w:rFonts w:ascii="仿宋" w:hAnsi="仿宋" w:eastAsia="仿宋"/>
          <w:sz w:val="32"/>
          <w:szCs w:val="32"/>
        </w:rPr>
      </w:pPr>
      <w:r>
        <w:rPr>
          <w:rFonts w:hint="eastAsia" w:ascii="仿宋" w:hAnsi="仿宋" w:eastAsia="仿宋"/>
          <w:sz w:val="32"/>
          <w:szCs w:val="32"/>
        </w:rPr>
        <w:t>11、住房保障支出（类）住房改革支出(款)住房公积金（项）</w:t>
      </w:r>
    </w:p>
    <w:p>
      <w:pPr>
        <w:pStyle w:val="10"/>
        <w:ind w:firstLine="640" w:firstLineChars="200"/>
        <w:rPr>
          <w:rFonts w:ascii="仿宋" w:hAnsi="仿宋" w:eastAsia="仿宋"/>
          <w:sz w:val="32"/>
          <w:szCs w:val="32"/>
        </w:rPr>
      </w:pPr>
      <w:r>
        <w:rPr>
          <w:rFonts w:hint="eastAsia" w:ascii="仿宋" w:hAnsi="仿宋" w:eastAsia="仿宋"/>
          <w:sz w:val="32"/>
          <w:szCs w:val="32"/>
        </w:rPr>
        <w:t>年初预算为18.15万元，支出决算为18.15万元，决算数与预算数持平。</w:t>
      </w:r>
    </w:p>
    <w:p>
      <w:pPr>
        <w:pStyle w:val="10"/>
        <w:ind w:firstLine="640" w:firstLineChars="20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仿宋" w:hAnsi="仿宋" w:eastAsia="仿宋"/>
          <w:sz w:val="32"/>
          <w:szCs w:val="32"/>
        </w:rPr>
      </w:pPr>
      <w:r>
        <w:rPr>
          <w:rFonts w:hint="eastAsia" w:ascii="仿宋" w:hAnsi="仿宋" w:eastAsia="仿宋"/>
          <w:sz w:val="32"/>
          <w:szCs w:val="32"/>
        </w:rPr>
        <w:t>2020年度财政拨款基本支出473.95万元，其中：人员经费437.74万元，占基本支出的92.36%,主要包括基本工资、津贴补贴、奖金、伙食补助费、绩效工资、机关事业单位基本养老保险缴费、职业年金缴费、职工基本医疗保险缴费、其他社会保障缴费、住房公积金等；公用经费36.21万元，占基本支出的7.64%，主要包括办公费、邮电费、差旅费、公务接待费、劳务费、工会经费、其他交通费、办公设备购置费等。</w:t>
      </w:r>
    </w:p>
    <w:p>
      <w:pPr>
        <w:pStyle w:val="10"/>
        <w:ind w:firstLine="640" w:firstLineChars="200"/>
        <w:rPr>
          <w:rFonts w:hAnsi="黑体"/>
          <w:b/>
          <w:sz w:val="32"/>
          <w:szCs w:val="32"/>
        </w:rPr>
      </w:pPr>
      <w:r>
        <w:rPr>
          <w:rFonts w:hint="eastAsia" w:hAnsi="黑体"/>
          <w:b/>
          <w:sz w:val="32"/>
          <w:szCs w:val="32"/>
        </w:rPr>
        <w:t>七、一般公共预算财政拨款三公经费支出决算情况说明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640" w:firstLineChars="200"/>
        <w:rPr>
          <w:rFonts w:ascii="仿宋" w:hAnsi="仿宋" w:eastAsia="仿宋"/>
          <w:sz w:val="32"/>
          <w:szCs w:val="32"/>
        </w:rPr>
      </w:pPr>
      <w:r>
        <w:rPr>
          <w:rFonts w:hint="eastAsia" w:ascii="仿宋" w:hAnsi="仿宋" w:eastAsia="仿宋"/>
          <w:sz w:val="32"/>
          <w:szCs w:val="32"/>
        </w:rPr>
        <w:t>“三公”经费财政拨款支出预算为17.5万元，支出决算为6.64万元，完成预算的37.94%，其中：</w:t>
      </w:r>
    </w:p>
    <w:p>
      <w:pPr>
        <w:pStyle w:val="10"/>
        <w:ind w:firstLine="640" w:firstLineChars="200"/>
        <w:rPr>
          <w:rFonts w:ascii="仿宋" w:hAnsi="仿宋" w:eastAsia="仿宋"/>
          <w:sz w:val="32"/>
          <w:szCs w:val="32"/>
        </w:rPr>
      </w:pPr>
      <w:r>
        <w:rPr>
          <w:rFonts w:hint="eastAsia" w:ascii="仿宋" w:hAnsi="仿宋" w:eastAsia="仿宋"/>
          <w:sz w:val="32"/>
          <w:szCs w:val="32"/>
        </w:rPr>
        <w:t>因公出国（境）费支出预算为0万元，支出决算为0万元。</w:t>
      </w:r>
    </w:p>
    <w:p>
      <w:pPr>
        <w:pStyle w:val="10"/>
        <w:ind w:firstLine="640" w:firstLineChars="200"/>
        <w:rPr>
          <w:rFonts w:ascii="仿宋" w:hAnsi="仿宋" w:eastAsia="仿宋"/>
          <w:sz w:val="32"/>
          <w:szCs w:val="32"/>
        </w:rPr>
      </w:pPr>
      <w:r>
        <w:rPr>
          <w:rFonts w:hint="eastAsia" w:ascii="仿宋" w:hAnsi="仿宋" w:eastAsia="仿宋"/>
          <w:sz w:val="32"/>
          <w:szCs w:val="32"/>
        </w:rPr>
        <w:t>公务接待费支出预算为17.5万元，支出决算为6.64万元，完成预算的37.94%，决算数小于年初预算数的主要原因一是受疫情影响，接待批次减少；二是积极落实中央关于厉行节约的要求，严格执行公务接待相关规定，规范公务接待结算事宜。与上年相比减少0.96万元，减少12.6%,减少的主要原因一是是受疫情影响，接待批次减少；二是积极落实中央关于厉行节约的要求，严格执行公务接待相关规定，规范公务接待结算事宜。</w:t>
      </w:r>
    </w:p>
    <w:p>
      <w:pPr>
        <w:pStyle w:val="10"/>
        <w:ind w:firstLine="640" w:firstLineChars="200"/>
        <w:rPr>
          <w:rFonts w:ascii="仿宋" w:hAnsi="仿宋" w:eastAsia="仿宋"/>
          <w:sz w:val="32"/>
          <w:szCs w:val="32"/>
        </w:rPr>
      </w:pPr>
      <w:r>
        <w:rPr>
          <w:rFonts w:hint="eastAsia" w:ascii="仿宋" w:hAnsi="仿宋" w:eastAsia="仿宋"/>
          <w:sz w:val="32"/>
          <w:szCs w:val="32"/>
        </w:rPr>
        <w:t>公务用车购置费及运行维护费支出预算为0万元，支出决算为0万元，公车改革后，已无公务车辆。</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仿宋" w:hAnsi="仿宋" w:eastAsia="仿宋"/>
          <w:sz w:val="32"/>
          <w:szCs w:val="32"/>
        </w:rPr>
      </w:pPr>
      <w:r>
        <w:rPr>
          <w:rFonts w:hint="eastAsia" w:ascii="仿宋" w:hAnsi="仿宋" w:eastAsia="仿宋"/>
          <w:sz w:val="32"/>
          <w:szCs w:val="32"/>
        </w:rPr>
        <w:t>2020年度“三公”经费财政拨款支出决算中，公务接待费支出决算6.64万元，占100%,因公出国（境）费支出无,公务用车购置费及运行维护费支出无。其中：</w:t>
      </w:r>
    </w:p>
    <w:p>
      <w:pPr>
        <w:pStyle w:val="10"/>
        <w:ind w:firstLine="640" w:firstLineChars="200"/>
        <w:rPr>
          <w:rFonts w:ascii="仿宋" w:hAnsi="仿宋" w:eastAsia="仿宋"/>
          <w:sz w:val="32"/>
          <w:szCs w:val="32"/>
        </w:rPr>
      </w:pPr>
      <w:r>
        <w:rPr>
          <w:rFonts w:hint="eastAsia" w:ascii="仿宋" w:hAnsi="仿宋" w:eastAsia="仿宋"/>
          <w:sz w:val="32"/>
          <w:szCs w:val="32"/>
        </w:rPr>
        <w:t>1、因公出国（境）费支出决算为0元，全年未安排因公出国（境）。</w:t>
      </w:r>
    </w:p>
    <w:p>
      <w:pPr>
        <w:pStyle w:val="10"/>
        <w:ind w:firstLine="640" w:firstLineChars="200"/>
        <w:rPr>
          <w:rFonts w:ascii="仿宋" w:hAnsi="仿宋" w:eastAsia="仿宋"/>
          <w:sz w:val="32"/>
          <w:szCs w:val="32"/>
        </w:rPr>
      </w:pPr>
      <w:r>
        <w:rPr>
          <w:rFonts w:hint="eastAsia" w:ascii="仿宋" w:hAnsi="仿宋" w:eastAsia="仿宋"/>
          <w:sz w:val="32"/>
          <w:szCs w:val="32"/>
        </w:rPr>
        <w:t>2、公务接待费支出决算为6.64万元，全年共接待来访团</w:t>
      </w:r>
      <w:r>
        <w:rPr>
          <w:rFonts w:hint="eastAsia" w:ascii="仿宋" w:hAnsi="仿宋" w:eastAsia="仿宋"/>
          <w:color w:val="000000" w:themeColor="text1"/>
          <w:sz w:val="32"/>
          <w:szCs w:val="32"/>
        </w:rPr>
        <w:t>组112个、来宾692人</w:t>
      </w:r>
      <w:r>
        <w:rPr>
          <w:rFonts w:hint="eastAsia" w:ascii="仿宋" w:hAnsi="仿宋" w:eastAsia="仿宋"/>
          <w:sz w:val="32"/>
          <w:szCs w:val="32"/>
        </w:rPr>
        <w:t>次，主要是省人大、市人大等上级单位调研，省、市、县三级人大代表联系工作发生的接待支出。</w:t>
      </w:r>
    </w:p>
    <w:p>
      <w:pPr>
        <w:pStyle w:val="10"/>
        <w:ind w:firstLine="640" w:firstLineChars="200"/>
        <w:rPr>
          <w:rFonts w:ascii="仿宋" w:hAnsi="仿宋" w:eastAsia="仿宋"/>
          <w:sz w:val="32"/>
          <w:szCs w:val="32"/>
        </w:rPr>
      </w:pPr>
      <w:r>
        <w:rPr>
          <w:rFonts w:hint="eastAsia" w:ascii="仿宋" w:hAnsi="仿宋" w:eastAsia="仿宋"/>
          <w:sz w:val="32"/>
          <w:szCs w:val="32"/>
        </w:rPr>
        <w:t>3、公务用车购置费及运行维护费支出决算为0元，公车改革后，已无公用车辆，未添置公务用车。</w:t>
      </w:r>
    </w:p>
    <w:p>
      <w:pPr>
        <w:pStyle w:val="10"/>
        <w:ind w:firstLine="640" w:firstLineChars="200"/>
        <w:rPr>
          <w:rFonts w:hAnsi="黑体"/>
          <w:b/>
          <w:sz w:val="32"/>
          <w:szCs w:val="32"/>
        </w:rPr>
      </w:pPr>
      <w:r>
        <w:rPr>
          <w:rFonts w:hint="eastAsia" w:hAnsi="黑体"/>
          <w:b/>
          <w:sz w:val="32"/>
          <w:szCs w:val="32"/>
        </w:rPr>
        <w:t>八、政府性基金预算收入支出决算情况</w:t>
      </w:r>
    </w:p>
    <w:p>
      <w:pPr>
        <w:pStyle w:val="10"/>
        <w:ind w:firstLine="640" w:firstLineChars="200"/>
        <w:rPr>
          <w:rFonts w:ascii="仿宋" w:hAnsi="仿宋" w:eastAsia="仿宋"/>
          <w:sz w:val="32"/>
          <w:szCs w:val="32"/>
        </w:rPr>
      </w:pPr>
      <w:r>
        <w:rPr>
          <w:rFonts w:hint="eastAsia" w:ascii="仿宋" w:hAnsi="仿宋" w:eastAsia="仿宋"/>
          <w:sz w:val="32"/>
          <w:szCs w:val="32"/>
        </w:rPr>
        <w:t>2020年度本单位政府性基金为抗疫特别国债安排的支出（类）基础设施建设(款)应急物资保障（项）</w:t>
      </w:r>
    </w:p>
    <w:p>
      <w:pPr>
        <w:pStyle w:val="10"/>
        <w:ind w:firstLine="640" w:firstLineChars="200"/>
        <w:rPr>
          <w:rFonts w:ascii="仿宋" w:hAnsi="仿宋" w:eastAsia="仿宋"/>
          <w:sz w:val="32"/>
          <w:szCs w:val="32"/>
        </w:rPr>
      </w:pPr>
      <w:r>
        <w:rPr>
          <w:rFonts w:hint="eastAsia" w:ascii="仿宋" w:hAnsi="仿宋" w:eastAsia="仿宋"/>
          <w:sz w:val="32"/>
          <w:szCs w:val="32"/>
        </w:rPr>
        <w:t>年初预算为0万元，调整预算为4万元，支出决算为4万元，决算数与预算数持平。</w:t>
      </w:r>
    </w:p>
    <w:p>
      <w:pPr>
        <w:pStyle w:val="10"/>
        <w:snapToGrid w:val="0"/>
        <w:spacing w:line="360" w:lineRule="auto"/>
        <w:ind w:firstLine="614" w:firstLineChars="200"/>
        <w:rPr>
          <w:rFonts w:ascii="宋体" w:hAnsi="宋体" w:eastAsia="宋体" w:cs="宋体"/>
          <w:b/>
          <w:w w:val="96"/>
          <w:sz w:val="32"/>
          <w:szCs w:val="32"/>
        </w:rPr>
      </w:pPr>
      <w:r>
        <w:rPr>
          <w:rFonts w:hint="eastAsia" w:ascii="宋体" w:hAnsi="宋体" w:eastAsia="宋体" w:cs="宋体"/>
          <w:b/>
          <w:w w:val="96"/>
          <w:sz w:val="32"/>
          <w:szCs w:val="32"/>
        </w:rPr>
        <w:t>九、国有资本经营预算财政拨款支出决算情况</w:t>
      </w:r>
    </w:p>
    <w:p>
      <w:pPr>
        <w:pStyle w:val="1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本单位2020年没有国有资本经营预算财政拨款支出。</w:t>
      </w:r>
    </w:p>
    <w:p>
      <w:pPr>
        <w:ind w:firstLine="640" w:firstLineChars="200"/>
        <w:rPr>
          <w:rFonts w:ascii="黑体" w:hAnsi="黑体" w:eastAsia="黑体" w:cs="黑体"/>
          <w:b/>
          <w:color w:val="000000"/>
          <w:kern w:val="0"/>
          <w:sz w:val="32"/>
          <w:szCs w:val="32"/>
        </w:rPr>
      </w:pPr>
      <w:r>
        <w:rPr>
          <w:rFonts w:hint="eastAsia" w:ascii="黑体" w:hAnsi="黑体" w:eastAsia="黑体" w:cs="黑体"/>
          <w:b/>
          <w:color w:val="000000"/>
          <w:kern w:val="0"/>
          <w:sz w:val="32"/>
          <w:szCs w:val="32"/>
        </w:rPr>
        <w:t>十、机关运行经费支出情况</w:t>
      </w:r>
    </w:p>
    <w:p>
      <w:pPr>
        <w:pStyle w:val="10"/>
        <w:ind w:firstLine="640" w:firstLineChars="200"/>
        <w:rPr>
          <w:rFonts w:ascii="仿宋" w:hAnsi="仿宋" w:eastAsia="仿宋"/>
          <w:sz w:val="32"/>
          <w:szCs w:val="32"/>
        </w:rPr>
      </w:pPr>
      <w:r>
        <w:rPr>
          <w:rFonts w:hint="eastAsia" w:ascii="仿宋" w:hAnsi="仿宋" w:eastAsia="仿宋"/>
          <w:sz w:val="32"/>
          <w:szCs w:val="32"/>
        </w:rPr>
        <w:t>本部门2020 年度机关运行经费支出36.21万元，比年初预算数增加4.21万元，增加13.16%。主要原因是：本年度在职人员增加，机关运行经费相应略有增加。</w:t>
      </w:r>
    </w:p>
    <w:p>
      <w:pPr>
        <w:ind w:firstLine="640" w:firstLineChars="200"/>
        <w:rPr>
          <w:rFonts w:ascii="黑体" w:hAnsi="黑体" w:eastAsia="黑体" w:cs="黑体"/>
          <w:b/>
          <w:color w:val="000000"/>
          <w:kern w:val="0"/>
          <w:sz w:val="32"/>
          <w:szCs w:val="32"/>
        </w:rPr>
      </w:pPr>
      <w:r>
        <w:rPr>
          <w:rFonts w:hint="eastAsia" w:ascii="黑体" w:hAnsi="黑体" w:eastAsia="黑体" w:cs="黑体"/>
          <w:b/>
          <w:color w:val="000000"/>
          <w:kern w:val="0"/>
          <w:sz w:val="32"/>
          <w:szCs w:val="32"/>
        </w:rPr>
        <w:t>十一、一般性支出情况</w:t>
      </w:r>
    </w:p>
    <w:p>
      <w:pPr>
        <w:pStyle w:val="10"/>
        <w:ind w:firstLine="640" w:firstLineChars="200"/>
        <w:rPr>
          <w:rFonts w:ascii="仿宋" w:hAnsi="仿宋" w:eastAsia="仿宋"/>
          <w:sz w:val="32"/>
          <w:szCs w:val="32"/>
        </w:rPr>
      </w:pPr>
      <w:r>
        <w:rPr>
          <w:rFonts w:hint="eastAsia" w:ascii="仿宋" w:hAnsi="仿宋" w:eastAsia="仿宋"/>
          <w:sz w:val="32"/>
          <w:szCs w:val="32"/>
        </w:rPr>
        <w:t>2020年本部门开支会议费0.49万元，主要用于召开县人民代表大会、县人大常委会例会、县人大常委会主任会议，累计人数2800余人。用于召开衡南县第十七届人民代表大会第五、六次会议，内容为听取和审查衡南县人民政府工作报告、审查和批准衡南县2019年国民经济和社会发展计划执行情况及2020年计划草案的报告、批准2020年国民经济和社会发展计划、审查和批准衡南县2019年财政预算执行情况和2020年预算草案的报告，批准衡南县2020年财政预算、听取和审查县人大常委会、县法院、县检察院工作报告、选举衡阳市第十五届人民代表大会代表、通过衡南县十七届人民代表大会有关专门委员会组成人员名单等。用于召开县人大常委会例会11次，内容为听取和审议政府专项工作报告，通过有关决议、决定，审议、审查地方性法规和人事任免案等；用于县人大各专门委员会、常委会工作机构和办事机构等9个科级机构全年召开各类工作会议，内容为开展好人大立法、监督、代表等工作；用于组织在衡南的市代表出席市人大会议，内容为做好衡南代表团有关服务保障工作。</w:t>
      </w:r>
    </w:p>
    <w:p>
      <w:pPr>
        <w:ind w:firstLine="640" w:firstLineChars="200"/>
        <w:rPr>
          <w:rFonts w:ascii="黑体" w:hAnsi="黑体" w:eastAsia="黑体" w:cs="黑体"/>
          <w:b/>
          <w:color w:val="000000"/>
          <w:kern w:val="0"/>
          <w:sz w:val="32"/>
          <w:szCs w:val="32"/>
        </w:rPr>
      </w:pPr>
      <w:r>
        <w:rPr>
          <w:rFonts w:hint="eastAsia" w:ascii="黑体" w:hAnsi="黑体" w:eastAsia="黑体" w:cs="黑体"/>
          <w:b/>
          <w:color w:val="000000"/>
          <w:kern w:val="0"/>
          <w:sz w:val="32"/>
          <w:szCs w:val="32"/>
        </w:rPr>
        <w:t>十二、政府采购支出情况</w:t>
      </w:r>
    </w:p>
    <w:p>
      <w:pPr>
        <w:pStyle w:val="10"/>
        <w:ind w:firstLine="640" w:firstLineChars="200"/>
        <w:rPr>
          <w:rFonts w:ascii="仿宋" w:hAnsi="仿宋" w:eastAsia="仿宋"/>
          <w:sz w:val="32"/>
          <w:szCs w:val="32"/>
        </w:rPr>
      </w:pPr>
      <w:r>
        <w:rPr>
          <w:rFonts w:hint="eastAsia" w:ascii="仿宋" w:hAnsi="仿宋" w:eastAsia="仿宋"/>
          <w:sz w:val="32"/>
          <w:szCs w:val="32"/>
        </w:rPr>
        <w:t>本部门2020年度政府采购支出总额35.33万元，其中：政府采购货物支出27.47万元、政府采购工程支出0万元、政府采购服务支出7.86万元。</w:t>
      </w:r>
    </w:p>
    <w:p>
      <w:pPr>
        <w:ind w:firstLine="640" w:firstLineChars="200"/>
        <w:rPr>
          <w:rFonts w:ascii="黑体" w:hAnsi="黑体" w:eastAsia="黑体" w:cs="黑体"/>
          <w:b/>
          <w:color w:val="000000"/>
          <w:kern w:val="0"/>
          <w:sz w:val="32"/>
          <w:szCs w:val="32"/>
        </w:rPr>
      </w:pPr>
      <w:r>
        <w:rPr>
          <w:rFonts w:hint="eastAsia" w:ascii="黑体" w:hAnsi="黑体" w:eastAsia="黑体" w:cs="黑体"/>
          <w:b/>
          <w:color w:val="000000"/>
          <w:kern w:val="0"/>
          <w:sz w:val="32"/>
          <w:szCs w:val="32"/>
        </w:rPr>
        <w:t>十三、国有资产占用情况</w:t>
      </w:r>
    </w:p>
    <w:p>
      <w:pPr>
        <w:pStyle w:val="10"/>
        <w:ind w:firstLine="640" w:firstLineChars="200"/>
        <w:rPr>
          <w:rFonts w:ascii="仿宋" w:hAnsi="仿宋" w:eastAsia="仿宋"/>
          <w:sz w:val="32"/>
          <w:szCs w:val="32"/>
        </w:rPr>
      </w:pPr>
      <w:r>
        <w:rPr>
          <w:rFonts w:hint="eastAsia" w:ascii="仿宋" w:hAnsi="仿宋" w:eastAsia="仿宋"/>
          <w:sz w:val="32"/>
          <w:szCs w:val="32"/>
        </w:rPr>
        <w:t>截至2020年12月31日，衡南县人大常委会办公室占用固定资产原值162.33万元，净值为89.97万元，主要资产为办公电脑、打印机等通用设备和办公桌椅、会议桌椅、文件柜等办公家具。</w:t>
      </w:r>
    </w:p>
    <w:p>
      <w:pPr>
        <w:pStyle w:val="10"/>
        <w:ind w:firstLine="640" w:firstLineChars="200"/>
        <w:rPr>
          <w:rFonts w:ascii="仿宋" w:hAnsi="仿宋" w:eastAsia="仿宋"/>
          <w:sz w:val="32"/>
          <w:szCs w:val="32"/>
        </w:rPr>
      </w:pPr>
      <w:r>
        <w:rPr>
          <w:rFonts w:hint="eastAsia" w:ascii="仿宋" w:hAnsi="仿宋" w:eastAsia="仿宋"/>
          <w:sz w:val="32"/>
          <w:szCs w:val="32"/>
        </w:rPr>
        <w:t>公车改革后，已无公车；无单位价值50万元以上通用设备。</w:t>
      </w:r>
    </w:p>
    <w:p>
      <w:pPr>
        <w:ind w:firstLine="640" w:firstLineChars="200"/>
        <w:rPr>
          <w:rFonts w:ascii="黑体" w:hAnsi="黑体" w:eastAsia="黑体" w:cs="黑体"/>
          <w:b/>
          <w:color w:val="000000"/>
          <w:kern w:val="0"/>
          <w:sz w:val="32"/>
          <w:szCs w:val="32"/>
        </w:rPr>
      </w:pPr>
      <w:r>
        <w:rPr>
          <w:rFonts w:hint="eastAsia" w:ascii="黑体" w:hAnsi="黑体" w:eastAsia="黑体" w:cs="黑体"/>
          <w:b/>
          <w:color w:val="000000"/>
          <w:kern w:val="0"/>
          <w:sz w:val="32"/>
          <w:szCs w:val="32"/>
        </w:rPr>
        <w:t>十四、关于2020年度预算绩效情况说明</w:t>
      </w:r>
    </w:p>
    <w:p>
      <w:pPr>
        <w:pStyle w:val="10"/>
        <w:ind w:firstLine="640" w:firstLineChars="200"/>
        <w:rPr>
          <w:rFonts w:ascii="仿宋" w:hAnsi="仿宋" w:eastAsia="仿宋"/>
          <w:sz w:val="32"/>
          <w:szCs w:val="32"/>
        </w:rPr>
      </w:pPr>
      <w:r>
        <w:rPr>
          <w:rFonts w:hint="eastAsia" w:ascii="仿宋" w:hAnsi="仿宋" w:eastAsia="仿宋"/>
          <w:sz w:val="32"/>
          <w:szCs w:val="32"/>
        </w:rPr>
        <w:t>根据预算绩效管理要求，县人大常委会办公室组织对2020年度部门整体支出开展绩效自评，综合评分为96.2%。部门整体支出绩效自评报告按要求作为部门决算附件公开。</w:t>
      </w:r>
    </w:p>
    <w:p>
      <w:pPr>
        <w:ind w:firstLine="480" w:firstLineChars="150"/>
        <w:rPr>
          <w:rFonts w:ascii="黑体" w:hAnsi="黑体" w:eastAsia="黑体" w:cs="黑体"/>
          <w:b/>
          <w:color w:val="000000"/>
          <w:kern w:val="0"/>
          <w:sz w:val="32"/>
          <w:szCs w:val="32"/>
        </w:rPr>
      </w:pPr>
    </w:p>
    <w:p>
      <w:pPr>
        <w:ind w:firstLine="640" w:firstLineChars="200"/>
        <w:rPr>
          <w:rFonts w:cs="黑体" w:asciiTheme="minorEastAsia" w:hAnsiTheme="minorEastAsia"/>
          <w:color w:val="000000"/>
          <w:kern w:val="0"/>
          <w:sz w:val="32"/>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pStyle w:val="5"/>
        <w:spacing w:before="0" w:beforeAutospacing="0" w:after="0" w:afterAutospacing="0" w:line="363" w:lineRule="atLeast"/>
        <w:rPr>
          <w:rFonts w:ascii="仿宋" w:hAnsi="仿宋" w:eastAsia="仿宋"/>
          <w:color w:val="000000"/>
          <w:sz w:val="32"/>
          <w:szCs w:val="32"/>
        </w:rPr>
      </w:pPr>
      <w:r>
        <w:rPr>
          <w:rFonts w:ascii="仿宋" w:hAnsi="仿宋" w:eastAsia="仿宋"/>
          <w:color w:val="000000"/>
          <w:sz w:val="32"/>
          <w:szCs w:val="32"/>
        </w:rPr>
        <w:t>　　一、财政拨款收入：指财政部门核拨给单位的财政预算资金。</w:t>
      </w:r>
    </w:p>
    <w:p>
      <w:pPr>
        <w:pStyle w:val="5"/>
        <w:spacing w:before="0" w:beforeAutospacing="0" w:after="0" w:afterAutospacing="0" w:line="363" w:lineRule="atLeast"/>
        <w:rPr>
          <w:rFonts w:ascii="仿宋" w:hAnsi="仿宋" w:eastAsia="仿宋"/>
          <w:color w:val="000000"/>
          <w:sz w:val="32"/>
          <w:szCs w:val="32"/>
        </w:rPr>
      </w:pPr>
      <w:r>
        <w:rPr>
          <w:rFonts w:ascii="仿宋" w:hAnsi="仿宋" w:eastAsia="仿宋"/>
          <w:color w:val="000000"/>
          <w:sz w:val="32"/>
          <w:szCs w:val="32"/>
        </w:rPr>
        <w:t>　　二、事业收入：指事业单位开展专业业务活动及辅助活动所取得的收入。</w:t>
      </w:r>
    </w:p>
    <w:p>
      <w:pPr>
        <w:pStyle w:val="5"/>
        <w:spacing w:before="0" w:beforeAutospacing="0" w:after="0" w:afterAutospacing="0" w:line="363" w:lineRule="atLeast"/>
        <w:rPr>
          <w:rFonts w:ascii="仿宋" w:hAnsi="仿宋" w:eastAsia="仿宋"/>
          <w:color w:val="000000"/>
          <w:sz w:val="32"/>
          <w:szCs w:val="32"/>
        </w:rPr>
      </w:pPr>
      <w:r>
        <w:rPr>
          <w:rFonts w:ascii="仿宋" w:hAnsi="仿宋" w:eastAsia="仿宋"/>
          <w:color w:val="000000"/>
          <w:sz w:val="32"/>
          <w:szCs w:val="32"/>
        </w:rPr>
        <w:t>　　三、附属单位上缴收入：指事业单位附属独立核算单位按有关规定上缴的收入。</w:t>
      </w:r>
    </w:p>
    <w:p>
      <w:pPr>
        <w:pStyle w:val="5"/>
        <w:spacing w:before="0" w:beforeAutospacing="0" w:after="0" w:afterAutospacing="0" w:line="363" w:lineRule="atLeast"/>
        <w:rPr>
          <w:rFonts w:ascii="仿宋" w:hAnsi="仿宋" w:eastAsia="仿宋"/>
          <w:color w:val="000000"/>
          <w:sz w:val="32"/>
          <w:szCs w:val="32"/>
        </w:rPr>
      </w:pPr>
      <w:r>
        <w:rPr>
          <w:rFonts w:ascii="仿宋" w:hAnsi="仿宋" w:eastAsia="仿宋"/>
          <w:color w:val="000000"/>
          <w:sz w:val="32"/>
          <w:szCs w:val="32"/>
        </w:rPr>
        <w:t>　　四、其他收入：指单位取得的除上述“财政拨款收入”、“事业收入”、“附属单位上缴收入”等以外的收入。</w:t>
      </w:r>
    </w:p>
    <w:p>
      <w:pPr>
        <w:pStyle w:val="5"/>
        <w:spacing w:before="0" w:beforeAutospacing="0" w:after="0" w:afterAutospacing="0" w:line="363" w:lineRule="atLeast"/>
        <w:rPr>
          <w:rFonts w:ascii="仿宋" w:hAnsi="仿宋" w:eastAsia="仿宋"/>
          <w:color w:val="000000"/>
          <w:sz w:val="32"/>
          <w:szCs w:val="32"/>
        </w:rPr>
      </w:pPr>
      <w:r>
        <w:rPr>
          <w:rFonts w:ascii="仿宋" w:hAnsi="仿宋" w:eastAsia="仿宋"/>
          <w:color w:val="000000"/>
          <w:sz w:val="32"/>
          <w:szCs w:val="32"/>
        </w:rPr>
        <w:t>　　五、年初结转和结余：指以前年度尚未完成、结转到本年仍按有关规定继续使用的资金。</w:t>
      </w:r>
    </w:p>
    <w:p>
      <w:pPr>
        <w:pStyle w:val="5"/>
        <w:spacing w:before="0" w:beforeAutospacing="0" w:after="0" w:afterAutospacing="0" w:line="363" w:lineRule="atLeast"/>
        <w:rPr>
          <w:rFonts w:ascii="仿宋" w:hAnsi="仿宋" w:eastAsia="仿宋"/>
          <w:color w:val="000000"/>
          <w:sz w:val="32"/>
          <w:szCs w:val="32"/>
        </w:rPr>
      </w:pPr>
      <w:r>
        <w:rPr>
          <w:rFonts w:ascii="仿宋" w:hAnsi="仿宋" w:eastAsia="仿宋"/>
          <w:color w:val="000000"/>
          <w:sz w:val="32"/>
          <w:szCs w:val="32"/>
        </w:rPr>
        <w:t>　　六、用事业基金弥补收支差额：指事业单位在当年的“财政拨款收入”、“事业收入”、“经营收入”和“其他收入”不足以安排当年支出的情况下，使用以前年度积累的事业基金（即事业单位以前各年度收支相抵后，按国家规定提取、用于弥补以后年度收支差额的基金）弥补本年收支缺口的资金。</w:t>
      </w:r>
    </w:p>
    <w:p>
      <w:pPr>
        <w:pStyle w:val="5"/>
        <w:spacing w:before="0" w:beforeAutospacing="0" w:after="0" w:afterAutospacing="0" w:line="363" w:lineRule="atLeast"/>
        <w:rPr>
          <w:rFonts w:ascii="仿宋" w:hAnsi="仿宋" w:eastAsia="仿宋"/>
          <w:color w:val="000000"/>
          <w:sz w:val="32"/>
          <w:szCs w:val="32"/>
        </w:rPr>
      </w:pPr>
      <w:r>
        <w:rPr>
          <w:rFonts w:ascii="仿宋" w:hAnsi="仿宋" w:eastAsia="仿宋"/>
          <w:color w:val="000000"/>
          <w:sz w:val="32"/>
          <w:szCs w:val="32"/>
        </w:rPr>
        <w:t>　　七、结余分配：指事业单位按规定提取的职工福利基金、事业基金和缴纳的所得税，以及建设单位按规定应交回的基本建设竣工项目结余资金。</w:t>
      </w:r>
    </w:p>
    <w:p>
      <w:pPr>
        <w:pStyle w:val="5"/>
        <w:spacing w:before="0" w:beforeAutospacing="0" w:after="0" w:afterAutospacing="0" w:line="363" w:lineRule="atLeast"/>
        <w:rPr>
          <w:rFonts w:ascii="仿宋" w:hAnsi="仿宋" w:eastAsia="仿宋"/>
          <w:color w:val="000000"/>
          <w:sz w:val="32"/>
          <w:szCs w:val="32"/>
        </w:rPr>
      </w:pPr>
      <w:r>
        <w:rPr>
          <w:rFonts w:ascii="仿宋" w:hAnsi="仿宋" w:eastAsia="仿宋"/>
          <w:color w:val="000000"/>
          <w:sz w:val="32"/>
          <w:szCs w:val="32"/>
        </w:rPr>
        <w:t>　　八、年末结转和结余：指本年度或以前年度预算安排、因客观条件发生变化无法按原计划实施，需延迟到以后年度按有关规定继续使用的资金。</w:t>
      </w:r>
    </w:p>
    <w:p>
      <w:pPr>
        <w:pStyle w:val="5"/>
        <w:spacing w:before="0" w:beforeAutospacing="0" w:after="0" w:afterAutospacing="0" w:line="363" w:lineRule="atLeast"/>
        <w:rPr>
          <w:rFonts w:ascii="仿宋" w:hAnsi="仿宋" w:eastAsia="仿宋"/>
          <w:color w:val="000000"/>
          <w:sz w:val="32"/>
          <w:szCs w:val="32"/>
        </w:rPr>
      </w:pPr>
      <w:r>
        <w:rPr>
          <w:rFonts w:ascii="仿宋" w:hAnsi="仿宋" w:eastAsia="仿宋"/>
          <w:color w:val="000000"/>
          <w:sz w:val="32"/>
          <w:szCs w:val="32"/>
        </w:rPr>
        <w:t>　　九、基本支出：指为保障机构正常运转、完成日常工作任务而发生的人员支出和公用支出。</w:t>
      </w:r>
    </w:p>
    <w:p>
      <w:pPr>
        <w:pStyle w:val="5"/>
        <w:spacing w:before="0" w:beforeAutospacing="0" w:after="0" w:afterAutospacing="0" w:line="363" w:lineRule="atLeast"/>
        <w:rPr>
          <w:rFonts w:ascii="仿宋" w:hAnsi="仿宋" w:eastAsia="仿宋"/>
          <w:color w:val="000000"/>
          <w:sz w:val="32"/>
          <w:szCs w:val="32"/>
        </w:rPr>
      </w:pPr>
      <w:r>
        <w:rPr>
          <w:rFonts w:ascii="仿宋" w:hAnsi="仿宋" w:eastAsia="仿宋"/>
          <w:color w:val="000000"/>
          <w:sz w:val="32"/>
          <w:szCs w:val="32"/>
        </w:rPr>
        <w:t>　　十、项目支出：指在基本支出之外，为完成特定行政任务和事业发展目标所发生的支出。</w:t>
      </w:r>
    </w:p>
    <w:p>
      <w:pPr>
        <w:pStyle w:val="5"/>
        <w:spacing w:before="0" w:beforeAutospacing="0" w:after="0" w:afterAutospacing="0" w:line="363" w:lineRule="atLeast"/>
        <w:rPr>
          <w:rFonts w:ascii="仿宋" w:hAnsi="仿宋" w:eastAsia="仿宋"/>
          <w:color w:val="000000"/>
          <w:sz w:val="32"/>
          <w:szCs w:val="32"/>
        </w:rPr>
      </w:pPr>
      <w:r>
        <w:rPr>
          <w:rFonts w:ascii="仿宋" w:hAnsi="仿宋" w:eastAsia="仿宋"/>
          <w:color w:val="000000"/>
          <w:sz w:val="32"/>
          <w:szCs w:val="32"/>
        </w:rPr>
        <w:t>　　十一、“三公”经费：指省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5"/>
        <w:spacing w:before="0" w:beforeAutospacing="0" w:after="0" w:afterAutospacing="0" w:line="363" w:lineRule="atLeast"/>
        <w:rPr>
          <w:rFonts w:ascii="仿宋" w:hAnsi="仿宋" w:eastAsia="仿宋"/>
          <w:color w:val="000000"/>
          <w:sz w:val="32"/>
          <w:szCs w:val="32"/>
        </w:rPr>
      </w:pPr>
      <w:r>
        <w:rPr>
          <w:rFonts w:ascii="仿宋" w:hAnsi="仿宋" w:eastAsia="仿宋"/>
          <w:color w:val="000000"/>
          <w:sz w:val="32"/>
          <w:szCs w:val="32"/>
        </w:rPr>
        <w:t>　　十二、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Theme="majorEastAsia" w:hAnsiTheme="majorEastAsia" w:eastAsiaTheme="majorEastAsia"/>
          <w:b/>
          <w:bCs/>
          <w:color w:val="000000" w:themeColor="text1"/>
          <w:sz w:val="48"/>
          <w:szCs w:val="48"/>
        </w:rPr>
      </w:pPr>
      <w:r>
        <w:rPr>
          <w:rFonts w:hint="eastAsia" w:asciiTheme="majorEastAsia" w:hAnsiTheme="majorEastAsia" w:eastAsiaTheme="majorEastAsia"/>
          <w:b/>
          <w:bCs/>
          <w:color w:val="000000" w:themeColor="text1"/>
          <w:sz w:val="48"/>
          <w:szCs w:val="48"/>
        </w:rPr>
        <w:t>衡南县人大常委会办公室</w:t>
      </w:r>
    </w:p>
    <w:p>
      <w:pPr>
        <w:jc w:val="center"/>
        <w:rPr>
          <w:rFonts w:asciiTheme="majorEastAsia" w:hAnsiTheme="majorEastAsia" w:eastAsiaTheme="majorEastAsia"/>
          <w:b/>
          <w:bCs/>
          <w:color w:val="000000" w:themeColor="text1"/>
          <w:sz w:val="48"/>
          <w:szCs w:val="48"/>
        </w:rPr>
      </w:pPr>
      <w:r>
        <w:rPr>
          <w:rFonts w:hint="eastAsia" w:asciiTheme="majorEastAsia" w:hAnsiTheme="majorEastAsia" w:eastAsiaTheme="majorEastAsia"/>
          <w:b/>
          <w:bCs/>
          <w:color w:val="000000" w:themeColor="text1"/>
          <w:sz w:val="48"/>
          <w:szCs w:val="48"/>
        </w:rPr>
        <w:t>2020年度部门整体</w:t>
      </w:r>
      <w:r>
        <w:rPr>
          <w:rFonts w:asciiTheme="majorEastAsia" w:hAnsiTheme="majorEastAsia" w:eastAsiaTheme="majorEastAsia"/>
          <w:b/>
          <w:bCs/>
          <w:color w:val="000000" w:themeColor="text1"/>
          <w:sz w:val="48"/>
          <w:szCs w:val="48"/>
        </w:rPr>
        <w:t>支出绩效报告</w:t>
      </w:r>
    </w:p>
    <w:p>
      <w:pPr>
        <w:jc w:val="center"/>
        <w:rPr>
          <w:b/>
          <w:bCs/>
          <w:color w:val="000000" w:themeColor="text1"/>
          <w:sz w:val="36"/>
          <w:szCs w:val="36"/>
        </w:rPr>
      </w:pPr>
    </w:p>
    <w:p>
      <w:pPr>
        <w:spacing w:line="52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为加强财政预算资金管理，进一步规范预算资金使用，提高财政资金使用效益，根据《衡南县财政局关于开展2020年度县级财政资金绩效自评工作的通知》要求，我办积极组织，对2020年度本单位整体支出进行了绩效自评，现将具体绩效评价情况报告如下： </w:t>
      </w:r>
    </w:p>
    <w:p>
      <w:pPr>
        <w:adjustRightInd w:val="0"/>
        <w:snapToGrid w:val="0"/>
        <w:spacing w:line="600" w:lineRule="exact"/>
        <w:ind w:firstLine="729" w:firstLineChars="228"/>
        <w:rPr>
          <w:rFonts w:ascii="黑体" w:hAnsi="黑体" w:eastAsia="黑体"/>
          <w:color w:val="000000" w:themeColor="text1"/>
          <w:sz w:val="32"/>
          <w:szCs w:val="32"/>
        </w:rPr>
      </w:pPr>
      <w:r>
        <w:rPr>
          <w:rFonts w:hint="eastAsia" w:ascii="黑体" w:hAnsi="黑体" w:eastAsia="黑体"/>
          <w:color w:val="000000" w:themeColor="text1"/>
          <w:sz w:val="32"/>
          <w:szCs w:val="32"/>
        </w:rPr>
        <w:t>一、基本情况</w:t>
      </w:r>
    </w:p>
    <w:p>
      <w:pPr>
        <w:spacing w:line="52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衡南县人大办为全额财政拨款单位，纳入财政会计集中核算和国库集中支付体系，财务制度执行《行政单位会计制度》。</w:t>
      </w:r>
    </w:p>
    <w:p>
      <w:pPr>
        <w:spacing w:line="520" w:lineRule="exact"/>
        <w:ind w:firstLine="640" w:firstLineChars="200"/>
        <w:rPr>
          <w:rFonts w:ascii="楷体" w:hAnsi="楷体" w:eastAsia="楷体" w:cs="楷体"/>
          <w:b/>
          <w:color w:val="000000" w:themeColor="text1"/>
          <w:sz w:val="32"/>
          <w:szCs w:val="32"/>
        </w:rPr>
      </w:pPr>
      <w:r>
        <w:rPr>
          <w:rFonts w:hint="eastAsia" w:ascii="楷体" w:hAnsi="楷体" w:eastAsia="楷体" w:cs="楷体"/>
          <w:b/>
          <w:color w:val="000000" w:themeColor="text1"/>
          <w:sz w:val="32"/>
          <w:szCs w:val="32"/>
        </w:rPr>
        <w:t>（一）机构设置情况</w:t>
      </w:r>
    </w:p>
    <w:p>
      <w:pPr>
        <w:widowControl/>
        <w:spacing w:line="480" w:lineRule="auto"/>
        <w:ind w:firstLine="640" w:firstLineChars="200"/>
        <w:jc w:val="left"/>
        <w:rPr>
          <w:rFonts w:ascii="仿宋" w:hAnsi="仿宋" w:eastAsia="仿宋"/>
          <w:color w:val="000000" w:themeColor="text1"/>
          <w:sz w:val="32"/>
          <w:szCs w:val="32"/>
        </w:rPr>
      </w:pPr>
      <w:r>
        <w:rPr>
          <w:rFonts w:hint="eastAsia" w:ascii="仿宋" w:hAnsi="仿宋" w:eastAsia="仿宋"/>
          <w:color w:val="000000" w:themeColor="text1"/>
          <w:sz w:val="32"/>
          <w:szCs w:val="32"/>
        </w:rPr>
        <w:t>衡南县人大及其常委会机关共设立九个机构：1个办事机构、1个工作机构、7个专门委员会。分别是办公室、选举任免联络工作委员会、民族华侨外事委员会、司法和监察司法委员会、财政经济委员会、教育科学文化卫生委员会、农业与农村委员会、环境与资源保护委员会、社会建设委员会。</w:t>
      </w:r>
    </w:p>
    <w:p>
      <w:pPr>
        <w:widowControl/>
        <w:spacing w:line="480" w:lineRule="auto"/>
        <w:ind w:firstLine="640" w:firstLineChars="200"/>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县人大常委会办公室加挂信访办公室、研究室牌子；县人大常委会预算工作委员会与县人大财政经济委员会合署办公；县人大法制委员会与县监察与司法委员会合署办公。</w:t>
      </w:r>
    </w:p>
    <w:p>
      <w:pPr>
        <w:widowControl/>
        <w:spacing w:line="480" w:lineRule="auto"/>
        <w:ind w:firstLine="645"/>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机关党支部、纪检机构和工会组织按有关规定和章程设置。</w:t>
      </w:r>
    </w:p>
    <w:p>
      <w:pPr>
        <w:widowControl/>
        <w:spacing w:line="480" w:lineRule="auto"/>
        <w:ind w:firstLine="645"/>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县人大办下设未独立核算正股级二级机构衡南县人大代表服务中心。</w:t>
      </w:r>
    </w:p>
    <w:p>
      <w:pPr>
        <w:spacing w:line="520" w:lineRule="exact"/>
        <w:ind w:firstLine="640" w:firstLineChars="200"/>
        <w:rPr>
          <w:rFonts w:ascii="楷体" w:hAnsi="楷体" w:eastAsia="楷体" w:cs="楷体"/>
          <w:b/>
          <w:color w:val="000000" w:themeColor="text1"/>
          <w:sz w:val="32"/>
          <w:szCs w:val="32"/>
        </w:rPr>
      </w:pPr>
      <w:r>
        <w:rPr>
          <w:rFonts w:hint="eastAsia" w:ascii="楷体" w:hAnsi="楷体" w:eastAsia="楷体" w:cs="楷体"/>
          <w:b/>
          <w:color w:val="000000" w:themeColor="text1"/>
          <w:sz w:val="32"/>
          <w:szCs w:val="32"/>
        </w:rPr>
        <w:t>（二）部门职责情况</w:t>
      </w:r>
    </w:p>
    <w:p>
      <w:pPr>
        <w:spacing w:line="520" w:lineRule="exact"/>
        <w:ind w:firstLine="640" w:firstLineChars="200"/>
        <w:rPr>
          <w:rFonts w:ascii="仿宋" w:hAnsi="仿宋" w:eastAsia="仿宋" w:cs="宋体"/>
          <w:color w:val="000000" w:themeColor="text1"/>
          <w:kern w:val="0"/>
          <w:sz w:val="32"/>
          <w:szCs w:val="32"/>
        </w:rPr>
      </w:pPr>
      <w:r>
        <w:rPr>
          <w:rFonts w:hint="eastAsia" w:ascii="仿宋" w:hAnsi="仿宋" w:eastAsia="仿宋" w:cs="楷体"/>
          <w:b/>
          <w:color w:val="000000" w:themeColor="text1"/>
          <w:sz w:val="32"/>
          <w:szCs w:val="32"/>
        </w:rPr>
        <w:t>主要工作职责：</w:t>
      </w:r>
      <w:r>
        <w:rPr>
          <w:rFonts w:hint="eastAsia" w:ascii="仿宋" w:hAnsi="仿宋" w:eastAsia="仿宋"/>
          <w:sz w:val="32"/>
          <w:szCs w:val="32"/>
        </w:rPr>
        <w:t>在本行政区域内，保证宪法、法律、行政法规和上级人民代表大会及其常务委员会决议决定的遵守和执行；指导或者主持本级人民代表大会代表的选举；召集本级人民代表大会会议；讨论、决定本行政区域内政治、经济、教育、科学、文化、卫生、环境和资源保护、民政、民族等工作的重大事项；根据本级人民政府的提请，决定对本行政区域内的国民经济和社会发展计划、预算的部分变更；监督本级人民政府、监察委员会、人民法院和人民检察院的工作，联系本级人民代表大会代表，受理人民群众对上述机关和国家工作人员的申诉和意见；其他。</w:t>
      </w:r>
    </w:p>
    <w:p>
      <w:pPr>
        <w:spacing w:line="520" w:lineRule="exact"/>
        <w:ind w:firstLine="640" w:firstLineChars="200"/>
        <w:rPr>
          <w:rFonts w:ascii="楷体" w:hAnsi="楷体" w:eastAsia="楷体" w:cs="楷体"/>
          <w:b/>
          <w:color w:val="000000" w:themeColor="text1"/>
          <w:sz w:val="32"/>
          <w:szCs w:val="32"/>
        </w:rPr>
      </w:pPr>
      <w:r>
        <w:rPr>
          <w:rFonts w:hint="eastAsia" w:ascii="楷体" w:hAnsi="楷体" w:eastAsia="楷体" w:cs="楷体"/>
          <w:b/>
          <w:color w:val="000000" w:themeColor="text1"/>
          <w:sz w:val="32"/>
          <w:szCs w:val="32"/>
        </w:rPr>
        <w:t>（三）人员编制情况</w:t>
      </w:r>
    </w:p>
    <w:p>
      <w:pPr>
        <w:spacing w:line="52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2020年年末县人大机关实际在编在岗人员为44人，离退休人员33人。其中在岗人员行政编制人数34人，工勤编制４人，事业编制6人。</w:t>
      </w:r>
    </w:p>
    <w:p>
      <w:pPr>
        <w:spacing w:line="52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二、部门整体支出管理及使用情况</w:t>
      </w:r>
    </w:p>
    <w:p>
      <w:pPr>
        <w:spacing w:line="520" w:lineRule="exact"/>
        <w:ind w:firstLine="640" w:firstLineChars="200"/>
        <w:rPr>
          <w:rFonts w:ascii="楷体" w:hAnsi="楷体" w:eastAsia="楷体" w:cs="楷体"/>
          <w:b/>
          <w:color w:val="000000" w:themeColor="text1"/>
          <w:sz w:val="32"/>
          <w:szCs w:val="32"/>
        </w:rPr>
      </w:pPr>
      <w:r>
        <w:rPr>
          <w:rFonts w:hint="eastAsia" w:ascii="楷体" w:hAnsi="楷体" w:eastAsia="楷体" w:cs="楷体"/>
          <w:b/>
          <w:color w:val="000000" w:themeColor="text1"/>
          <w:sz w:val="32"/>
          <w:szCs w:val="32"/>
        </w:rPr>
        <w:t>（一）部门预算收支情况</w:t>
      </w:r>
    </w:p>
    <w:p>
      <w:pPr>
        <w:spacing w:line="52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我单位2020年年初各项支出预算批复经费包干数为887.41万元（均为公共财政拨款），其中工资福利支出444.38万元，一般商品服务支出32万元，对个人和家庭补助3.53万元，专项经费407.5万元。年中预算调整数增加112.35万元，全年预算指标合计为999.76万元。</w:t>
      </w:r>
    </w:p>
    <w:p>
      <w:pPr>
        <w:spacing w:line="52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2020年收到市人大下拨省市代表活动经费20.08万元，其他收入0.86万元，上年结转结余资金26.21万元，全年决算收入总计为1046.91万元；2020年支出决算数为994.23万元，年末结转和结余数为 52.68万元。</w:t>
      </w:r>
    </w:p>
    <w:p>
      <w:pPr>
        <w:spacing w:line="520" w:lineRule="exact"/>
        <w:ind w:firstLine="640" w:firstLineChars="200"/>
        <w:rPr>
          <w:rFonts w:ascii="楷体" w:hAnsi="楷体" w:eastAsia="楷体" w:cs="楷体"/>
          <w:b/>
          <w:color w:val="000000" w:themeColor="text1"/>
          <w:sz w:val="32"/>
          <w:szCs w:val="32"/>
        </w:rPr>
      </w:pPr>
      <w:r>
        <w:rPr>
          <w:rFonts w:hint="eastAsia" w:ascii="楷体" w:hAnsi="楷体" w:eastAsia="楷体" w:cs="楷体"/>
          <w:b/>
          <w:color w:val="000000" w:themeColor="text1"/>
          <w:sz w:val="32"/>
          <w:szCs w:val="32"/>
        </w:rPr>
        <w:t>（二）支出分类情况</w:t>
      </w:r>
    </w:p>
    <w:p>
      <w:pPr>
        <w:spacing w:line="520" w:lineRule="exact"/>
        <w:ind w:firstLine="640"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1、基本支出情况</w:t>
      </w:r>
    </w:p>
    <w:p>
      <w:pPr>
        <w:spacing w:line="52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我单位基本支出范围和主要用途包括人员经费和日常公用经费，具体包括：工资福利支出、一般商品和服务支出、资本性支出等。2020年度基本支出的管理和使用情况如下：本级基本支出总额473.95万元，其中工资福利支出430.51万元，对个人和家庭的补助7.23万元，日常公用经费36.21万元。</w:t>
      </w:r>
    </w:p>
    <w:p>
      <w:pPr>
        <w:spacing w:line="520" w:lineRule="exact"/>
        <w:ind w:firstLine="640"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2、专项支出情况</w:t>
      </w:r>
    </w:p>
    <w:p>
      <w:pPr>
        <w:spacing w:line="52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2020年我单位专项资金支出520.28万元，用于保障全县和各乡镇人民代表大会、人大常委会例会和人大各专门委员会会议支出91.66万元，用于保障人大执法、代表建议督办及相关的法律监督54.93万元，用于保障人大代表履职能力提升52.60万元，用于保障代表和委员活动及代表活动站所的维护38.80万元，用于保障代表补选、省市代表培训、预算/计划/规划等审查、三级人大代表专项工作、规范性文件备案审查、专项工作评议、工委工作、人大制度研究及宣传、财政在线监督、专项工作评议、代表网格化管理、代表联系群众站所建设、基层人大代表履职等相关工作支出266.50万元，用于保障抗疫应急物资支出4万元，用于市人大代表履职经费11.8万元。</w:t>
      </w:r>
    </w:p>
    <w:p>
      <w:pPr>
        <w:spacing w:line="520" w:lineRule="exact"/>
        <w:ind w:firstLine="640" w:firstLineChars="200"/>
        <w:rPr>
          <w:rFonts w:ascii="楷体" w:hAnsi="楷体" w:eastAsia="楷体" w:cs="楷体"/>
          <w:b/>
          <w:color w:val="000000" w:themeColor="text1"/>
          <w:sz w:val="32"/>
          <w:szCs w:val="32"/>
        </w:rPr>
      </w:pPr>
      <w:r>
        <w:rPr>
          <w:rFonts w:hint="eastAsia" w:ascii="楷体" w:hAnsi="楷体" w:eastAsia="楷体" w:cs="楷体"/>
          <w:b/>
          <w:color w:val="000000" w:themeColor="text1"/>
          <w:sz w:val="32"/>
          <w:szCs w:val="32"/>
        </w:rPr>
        <w:t>（三）“三公”经费情况</w:t>
      </w:r>
    </w:p>
    <w:p>
      <w:pPr>
        <w:spacing w:line="52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2020年我单位“三公”经费预算控制数为17.5万元，其中“因公出国（境）费”和“公务用车购置及运行维护费”均为0元，“公务接待费”预算为17.5万元。2020年实际支出均控制在预算范围内，其中：因公出国（境）费”和“公务用车购置及运行维护费”实际支出为0元，“公务接待费”实际支出6.64万元，较上年度减少0.96万元，达到上级每年递减5%的要求。</w:t>
      </w:r>
    </w:p>
    <w:p>
      <w:pPr>
        <w:spacing w:line="520" w:lineRule="exact"/>
        <w:ind w:firstLine="640" w:firstLineChars="200"/>
        <w:rPr>
          <w:rFonts w:ascii="黑体" w:hAnsi="黑体" w:eastAsia="黑体" w:cs="Times New Roman"/>
          <w:color w:val="000000" w:themeColor="text1"/>
          <w:sz w:val="32"/>
          <w:szCs w:val="32"/>
        </w:rPr>
      </w:pPr>
      <w:r>
        <w:rPr>
          <w:rFonts w:hint="eastAsia" w:ascii="黑体" w:hAnsi="黑体" w:eastAsia="黑体" w:cs="Times New Roman"/>
          <w:color w:val="000000" w:themeColor="text1"/>
          <w:sz w:val="32"/>
          <w:szCs w:val="32"/>
        </w:rPr>
        <w:t>三、部门整体支出绩效评价情况</w:t>
      </w:r>
    </w:p>
    <w:p>
      <w:pPr>
        <w:spacing w:line="520" w:lineRule="exact"/>
        <w:ind w:firstLine="640" w:firstLineChars="200"/>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2020年，根据我单位年初工作规划和重点性工作，围绕县委、县政府中心工作，积极履职，强化管理，较好的完成了年度工作目标。通过加强预算收支的管理，不断建立健全内部管理制度，理顺内部管理流程，部门整体支出管理情况得到了提升，较好的完成了各项目标任务，为促进全县经济发展、社会和谐、民生改善、法治进步作出了积极贡献。</w:t>
      </w:r>
    </w:p>
    <w:p>
      <w:pPr>
        <w:spacing w:line="520" w:lineRule="exact"/>
        <w:ind w:firstLine="640" w:firstLineChars="200"/>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根据《2020年度整体支出绩效自评考核评价表》评分细则，我单位整体支出绩效自评分为</w:t>
      </w:r>
      <w:r>
        <w:rPr>
          <w:rFonts w:hint="eastAsia" w:ascii="仿宋" w:hAnsi="仿宋" w:eastAsia="仿宋"/>
          <w:color w:val="000000" w:themeColor="text1"/>
          <w:sz w:val="32"/>
          <w:szCs w:val="32"/>
        </w:rPr>
        <w:t>96.2</w:t>
      </w:r>
      <w:r>
        <w:rPr>
          <w:rFonts w:hint="eastAsia" w:ascii="仿宋" w:hAnsi="仿宋" w:eastAsia="仿宋" w:cs="Times New Roman"/>
          <w:color w:val="000000" w:themeColor="text1"/>
          <w:sz w:val="32"/>
          <w:szCs w:val="32"/>
        </w:rPr>
        <w:t>分，具体指标的自评分详见《2020年度整体支出绩效自评考核评价表》。</w:t>
      </w:r>
    </w:p>
    <w:p>
      <w:pPr>
        <w:spacing w:line="520" w:lineRule="exact"/>
        <w:ind w:firstLine="640" w:firstLineChars="200"/>
        <w:rPr>
          <w:rFonts w:ascii="黑体" w:hAnsi="黑体" w:eastAsia="黑体" w:cs="Times New Roman"/>
          <w:color w:val="000000" w:themeColor="text1"/>
          <w:sz w:val="32"/>
          <w:szCs w:val="32"/>
        </w:rPr>
      </w:pPr>
      <w:r>
        <w:rPr>
          <w:rFonts w:hint="eastAsia" w:ascii="黑体" w:hAnsi="黑体" w:eastAsia="黑体" w:cs="Times New Roman"/>
          <w:color w:val="000000" w:themeColor="text1"/>
          <w:sz w:val="32"/>
          <w:szCs w:val="32"/>
        </w:rPr>
        <w:t>四、存在的主要问题</w:t>
      </w:r>
    </w:p>
    <w:p>
      <w:pPr>
        <w:autoSpaceDE w:val="0"/>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年初预算的编制较为精细，按照费用支出的使用范围和内容，进行了基本支出、项目支出的严格区分，并按照预算的最末级明细进行预算支出管理，专款专用。但对于追加的项目支出、上年结余结转的项目资金，没有进行预算分解，编制明细预算。</w:t>
      </w:r>
    </w:p>
    <w:p>
      <w:pPr>
        <w:autoSpaceDE w:val="0"/>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2、预算执行有待加强，年终有结余，加快支付进度。</w:t>
      </w:r>
    </w:p>
    <w:p>
      <w:pPr>
        <w:spacing w:line="520" w:lineRule="exact"/>
        <w:ind w:firstLine="640" w:firstLineChars="200"/>
        <w:rPr>
          <w:rFonts w:ascii="黑体" w:hAnsi="黑体" w:eastAsia="黑体" w:cs="Times New Roman"/>
          <w:color w:val="000000" w:themeColor="text1"/>
          <w:sz w:val="32"/>
          <w:szCs w:val="32"/>
        </w:rPr>
      </w:pPr>
      <w:r>
        <w:rPr>
          <w:rFonts w:hint="eastAsia" w:ascii="黑体" w:hAnsi="黑体" w:eastAsia="黑体" w:cs="Times New Roman"/>
          <w:color w:val="000000" w:themeColor="text1"/>
          <w:sz w:val="32"/>
          <w:szCs w:val="32"/>
        </w:rPr>
        <w:t>五、改进措施和建议</w:t>
      </w:r>
    </w:p>
    <w:p>
      <w:pPr>
        <w:spacing w:line="520" w:lineRule="exact"/>
        <w:ind w:firstLine="640" w:firstLineChars="200"/>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1、进一步加强内部机构的预算管理意识，严格按照预算编制的相关制度和要求，充分发挥财务监督作用。</w:t>
      </w:r>
    </w:p>
    <w:p>
      <w:pPr>
        <w:spacing w:line="520" w:lineRule="exact"/>
        <w:ind w:firstLine="640" w:firstLineChars="200"/>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2、进一步提高人员经费和公用经费保障力度，提高预算编制的科学性、合理性、严谨性和可控性。</w:t>
      </w:r>
    </w:p>
    <w:p>
      <w:pPr>
        <w:spacing w:line="520" w:lineRule="exact"/>
        <w:ind w:firstLine="640" w:firstLineChars="200"/>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3、在日常预算管理过程中，进一步加强预算支出的审核、跟踪及预算执行情况分析。</w:t>
      </w:r>
    </w:p>
    <w:p>
      <w:pPr>
        <w:spacing w:line="520" w:lineRule="exact"/>
        <w:ind w:right="480" w:firstLine="560" w:firstLineChars="200"/>
        <w:jc w:val="right"/>
        <w:rPr>
          <w:rFonts w:ascii="仿宋_GB2312" w:hAnsi="Calibri" w:eastAsia="仿宋_GB2312" w:cs="Times New Roman"/>
          <w:color w:val="000000" w:themeColor="text1"/>
          <w:sz w:val="28"/>
          <w:szCs w:val="28"/>
        </w:rPr>
      </w:pPr>
    </w:p>
    <w:p>
      <w:pPr>
        <w:spacing w:line="520" w:lineRule="exact"/>
        <w:ind w:right="480" w:firstLine="560" w:firstLineChars="200"/>
        <w:jc w:val="right"/>
        <w:rPr>
          <w:rFonts w:ascii="仿宋_GB2312" w:hAnsi="Calibri" w:eastAsia="仿宋_GB2312" w:cs="Times New Roman"/>
          <w:color w:val="000000" w:themeColor="text1"/>
          <w:sz w:val="28"/>
          <w:szCs w:val="28"/>
        </w:rPr>
      </w:pPr>
    </w:p>
    <w:p>
      <w:pPr>
        <w:spacing w:line="520" w:lineRule="exact"/>
        <w:ind w:right="480" w:firstLine="560" w:firstLineChars="200"/>
        <w:jc w:val="right"/>
        <w:rPr>
          <w:rFonts w:ascii="仿宋_GB2312" w:hAnsi="Calibri" w:eastAsia="仿宋_GB2312" w:cs="Times New Roman"/>
          <w:color w:val="000000" w:themeColor="text1"/>
          <w:sz w:val="28"/>
          <w:szCs w:val="28"/>
        </w:rPr>
      </w:pPr>
    </w:p>
    <w:p>
      <w:pPr>
        <w:spacing w:line="520" w:lineRule="exact"/>
        <w:ind w:right="480" w:firstLine="560" w:firstLineChars="200"/>
        <w:jc w:val="right"/>
        <w:rPr>
          <w:rFonts w:ascii="仿宋_GB2312" w:hAnsi="Calibri" w:eastAsia="仿宋_GB2312" w:cs="Times New Roman"/>
          <w:color w:val="000000" w:themeColor="text1"/>
          <w:sz w:val="28"/>
          <w:szCs w:val="28"/>
        </w:rPr>
      </w:pPr>
    </w:p>
    <w:p>
      <w:pPr>
        <w:spacing w:line="520" w:lineRule="exact"/>
        <w:ind w:right="480" w:firstLine="560" w:firstLineChars="200"/>
        <w:jc w:val="right"/>
        <w:rPr>
          <w:rFonts w:ascii="仿宋_GB2312" w:hAnsi="Calibri" w:eastAsia="仿宋_GB2312" w:cs="Times New Roman"/>
          <w:color w:val="000000" w:themeColor="text1"/>
          <w:sz w:val="28"/>
          <w:szCs w:val="28"/>
        </w:rPr>
      </w:pPr>
    </w:p>
    <w:p>
      <w:pPr>
        <w:spacing w:line="520" w:lineRule="exact"/>
        <w:ind w:right="480" w:firstLine="560" w:firstLineChars="200"/>
        <w:jc w:val="right"/>
        <w:rPr>
          <w:rFonts w:ascii="仿宋_GB2312" w:hAnsi="Calibri" w:eastAsia="仿宋_GB2312" w:cs="Times New Roman"/>
          <w:color w:val="000000" w:themeColor="text1"/>
          <w:sz w:val="28"/>
          <w:szCs w:val="28"/>
        </w:rPr>
      </w:pPr>
    </w:p>
    <w:p>
      <w:pPr>
        <w:spacing w:line="520" w:lineRule="exact"/>
        <w:ind w:right="480" w:firstLine="560" w:firstLineChars="200"/>
        <w:jc w:val="right"/>
        <w:rPr>
          <w:rFonts w:ascii="仿宋_GB2312" w:hAnsi="Calibri" w:eastAsia="仿宋_GB2312" w:cs="Times New Roman"/>
          <w:color w:val="000000" w:themeColor="text1"/>
          <w:sz w:val="28"/>
          <w:szCs w:val="28"/>
        </w:rPr>
      </w:pPr>
    </w:p>
    <w:p>
      <w:pPr>
        <w:spacing w:line="520" w:lineRule="exact"/>
        <w:ind w:right="480" w:firstLine="560" w:firstLineChars="200"/>
        <w:jc w:val="right"/>
        <w:rPr>
          <w:rFonts w:ascii="仿宋_GB2312" w:hAnsi="Calibri" w:eastAsia="仿宋_GB2312" w:cs="Times New Roman"/>
          <w:color w:val="000000" w:themeColor="text1"/>
          <w:sz w:val="28"/>
          <w:szCs w:val="28"/>
        </w:rPr>
      </w:pPr>
    </w:p>
    <w:p>
      <w:pPr>
        <w:spacing w:line="520" w:lineRule="exact"/>
        <w:ind w:right="482"/>
        <w:jc w:val="left"/>
        <w:rPr>
          <w:rFonts w:cs="黑体" w:asciiTheme="minorEastAsia" w:hAnsiTheme="minorEastAsia"/>
          <w:color w:val="000000"/>
          <w:kern w:val="0"/>
          <w:sz w:val="32"/>
          <w:szCs w:val="32"/>
        </w:rPr>
      </w:pPr>
    </w:p>
    <w:p>
      <w:pPr>
        <w:spacing w:line="520" w:lineRule="exact"/>
        <w:ind w:right="482"/>
        <w:jc w:val="left"/>
        <w:rPr>
          <w:rFonts w:cs="黑体" w:asciiTheme="minorEastAsia" w:hAnsiTheme="minorEastAsia"/>
          <w:color w:val="000000"/>
          <w:kern w:val="0"/>
          <w:sz w:val="32"/>
          <w:szCs w:val="32"/>
        </w:rPr>
      </w:pPr>
    </w:p>
    <w:p>
      <w:pPr>
        <w:spacing w:line="520" w:lineRule="exact"/>
        <w:ind w:right="482"/>
        <w:jc w:val="left"/>
        <w:rPr>
          <w:rFonts w:cs="黑体" w:asciiTheme="minorEastAsia" w:hAnsiTheme="minorEastAsia"/>
          <w:color w:val="000000"/>
          <w:kern w:val="0"/>
          <w:sz w:val="32"/>
          <w:szCs w:val="32"/>
        </w:rPr>
      </w:pPr>
    </w:p>
    <w:p>
      <w:pPr>
        <w:spacing w:line="520" w:lineRule="exact"/>
        <w:ind w:right="482"/>
        <w:jc w:val="left"/>
        <w:rPr>
          <w:rFonts w:cs="黑体" w:asciiTheme="minorEastAsia" w:hAnsiTheme="minorEastAsia"/>
          <w:color w:val="000000"/>
          <w:kern w:val="0"/>
          <w:sz w:val="32"/>
          <w:szCs w:val="32"/>
        </w:rPr>
      </w:pPr>
    </w:p>
    <w:p>
      <w:pPr>
        <w:spacing w:line="520" w:lineRule="exact"/>
        <w:ind w:right="482"/>
        <w:jc w:val="left"/>
        <w:rPr>
          <w:rFonts w:cs="黑体" w:asciiTheme="minorEastAsia" w:hAnsiTheme="minorEastAsia"/>
          <w:color w:val="000000"/>
          <w:kern w:val="0"/>
          <w:sz w:val="32"/>
          <w:szCs w:val="32"/>
        </w:rPr>
      </w:pPr>
    </w:p>
    <w:p>
      <w:pPr>
        <w:spacing w:line="520" w:lineRule="exact"/>
        <w:ind w:right="482"/>
        <w:jc w:val="left"/>
        <w:rPr>
          <w:rFonts w:cs="黑体" w:asciiTheme="minorEastAsia" w:hAnsiTheme="minorEastAsia"/>
          <w:color w:val="000000"/>
          <w:kern w:val="0"/>
          <w:sz w:val="32"/>
          <w:szCs w:val="32"/>
        </w:rPr>
      </w:pPr>
    </w:p>
    <w:p>
      <w:pPr>
        <w:spacing w:line="520" w:lineRule="exact"/>
        <w:ind w:right="482"/>
        <w:jc w:val="left"/>
        <w:rPr>
          <w:rFonts w:cs="黑体" w:asciiTheme="minorEastAsia" w:hAnsiTheme="minorEastAsia"/>
          <w:color w:val="000000"/>
          <w:kern w:val="0"/>
          <w:sz w:val="32"/>
          <w:szCs w:val="32"/>
        </w:rPr>
      </w:pPr>
    </w:p>
    <w:p>
      <w:pPr>
        <w:spacing w:line="520" w:lineRule="exact"/>
        <w:ind w:right="482"/>
        <w:jc w:val="left"/>
        <w:rPr>
          <w:rFonts w:cs="黑体" w:asciiTheme="minorEastAsia" w:hAnsiTheme="minorEastAsia"/>
          <w:color w:val="000000"/>
          <w:kern w:val="0"/>
          <w:sz w:val="32"/>
          <w:szCs w:val="32"/>
        </w:rPr>
      </w:pPr>
    </w:p>
    <w:p>
      <w:pPr>
        <w:spacing w:line="520" w:lineRule="exact"/>
        <w:ind w:right="482"/>
        <w:jc w:val="left"/>
        <w:rPr>
          <w:rFonts w:cs="黑体" w:asciiTheme="minorEastAsia" w:hAnsiTheme="minorEastAsia"/>
          <w:color w:val="000000"/>
          <w:kern w:val="0"/>
          <w:sz w:val="32"/>
          <w:szCs w:val="32"/>
        </w:rPr>
      </w:pPr>
    </w:p>
    <w:p>
      <w:pPr>
        <w:spacing w:line="520" w:lineRule="exact"/>
        <w:ind w:right="482"/>
        <w:jc w:val="left"/>
        <w:rPr>
          <w:rFonts w:cs="黑体" w:asciiTheme="minorEastAsia" w:hAnsiTheme="minorEastAsia"/>
          <w:color w:val="000000"/>
          <w:kern w:val="0"/>
          <w:sz w:val="32"/>
          <w:szCs w:val="32"/>
        </w:rPr>
      </w:pPr>
    </w:p>
    <w:p>
      <w:pPr>
        <w:spacing w:line="520" w:lineRule="exact"/>
        <w:ind w:right="482"/>
        <w:jc w:val="left"/>
        <w:rPr>
          <w:rFonts w:cs="黑体" w:asciiTheme="minorEastAsia" w:hAnsiTheme="minorEastAsia"/>
          <w:color w:val="000000"/>
          <w:kern w:val="0"/>
          <w:sz w:val="32"/>
          <w:szCs w:val="32"/>
        </w:rPr>
      </w:pPr>
    </w:p>
    <w:p>
      <w:pPr>
        <w:spacing w:line="520" w:lineRule="exact"/>
        <w:ind w:right="482"/>
        <w:jc w:val="left"/>
        <w:rPr>
          <w:rFonts w:cs="黑体" w:asciiTheme="minorEastAsia" w:hAnsiTheme="minorEastAsia"/>
          <w:color w:val="000000"/>
          <w:kern w:val="0"/>
          <w:sz w:val="32"/>
          <w:szCs w:val="32"/>
        </w:rPr>
      </w:pPr>
    </w:p>
    <w:sectPr>
      <w:pgSz w:w="11906" w:h="16838"/>
      <w:pgMar w:top="1440" w:right="1800" w:bottom="1440" w:left="180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gzM2VlNDI5ZmQzOWVmNTE0ZjNlYTUxY2M5ZDk4MDkifQ=="/>
  </w:docVars>
  <w:rsids>
    <w:rsidRoot w:val="004506F9"/>
    <w:rsid w:val="000041A6"/>
    <w:rsid w:val="00007537"/>
    <w:rsid w:val="0002229B"/>
    <w:rsid w:val="00025759"/>
    <w:rsid w:val="000273BD"/>
    <w:rsid w:val="000415B7"/>
    <w:rsid w:val="00050CD5"/>
    <w:rsid w:val="000658A3"/>
    <w:rsid w:val="00074155"/>
    <w:rsid w:val="0009466E"/>
    <w:rsid w:val="000969B5"/>
    <w:rsid w:val="000A3F69"/>
    <w:rsid w:val="000B1A00"/>
    <w:rsid w:val="000B3621"/>
    <w:rsid w:val="000C2AC8"/>
    <w:rsid w:val="000D3AC6"/>
    <w:rsid w:val="000F4399"/>
    <w:rsid w:val="000F75E0"/>
    <w:rsid w:val="00117747"/>
    <w:rsid w:val="00152C6D"/>
    <w:rsid w:val="00162D39"/>
    <w:rsid w:val="001648D6"/>
    <w:rsid w:val="00172B92"/>
    <w:rsid w:val="00180E2E"/>
    <w:rsid w:val="00184DF5"/>
    <w:rsid w:val="001909AA"/>
    <w:rsid w:val="00193FB4"/>
    <w:rsid w:val="001967EA"/>
    <w:rsid w:val="001A470E"/>
    <w:rsid w:val="001A611A"/>
    <w:rsid w:val="001A67DB"/>
    <w:rsid w:val="001C6FAA"/>
    <w:rsid w:val="001D51E5"/>
    <w:rsid w:val="001E4C7C"/>
    <w:rsid w:val="001F0C3B"/>
    <w:rsid w:val="00214427"/>
    <w:rsid w:val="0026095F"/>
    <w:rsid w:val="00265724"/>
    <w:rsid w:val="0027426B"/>
    <w:rsid w:val="002A1901"/>
    <w:rsid w:val="002A1F24"/>
    <w:rsid w:val="002B7381"/>
    <w:rsid w:val="002F6DE1"/>
    <w:rsid w:val="00304800"/>
    <w:rsid w:val="0030784E"/>
    <w:rsid w:val="00311F64"/>
    <w:rsid w:val="003479BD"/>
    <w:rsid w:val="003654BD"/>
    <w:rsid w:val="003768D5"/>
    <w:rsid w:val="003C5FB5"/>
    <w:rsid w:val="003C6802"/>
    <w:rsid w:val="003D2614"/>
    <w:rsid w:val="003F1689"/>
    <w:rsid w:val="003F34F4"/>
    <w:rsid w:val="00406664"/>
    <w:rsid w:val="00436B97"/>
    <w:rsid w:val="004406F4"/>
    <w:rsid w:val="004426CC"/>
    <w:rsid w:val="00444436"/>
    <w:rsid w:val="00447ABF"/>
    <w:rsid w:val="004506F9"/>
    <w:rsid w:val="00455A56"/>
    <w:rsid w:val="00455E48"/>
    <w:rsid w:val="00457CA1"/>
    <w:rsid w:val="00460A02"/>
    <w:rsid w:val="004627B9"/>
    <w:rsid w:val="00464DE1"/>
    <w:rsid w:val="00470BCF"/>
    <w:rsid w:val="004717A2"/>
    <w:rsid w:val="00476468"/>
    <w:rsid w:val="00480918"/>
    <w:rsid w:val="00484A9E"/>
    <w:rsid w:val="00491741"/>
    <w:rsid w:val="004F3D9D"/>
    <w:rsid w:val="004F631C"/>
    <w:rsid w:val="00500E5F"/>
    <w:rsid w:val="005122EF"/>
    <w:rsid w:val="00515044"/>
    <w:rsid w:val="00516E47"/>
    <w:rsid w:val="00517C33"/>
    <w:rsid w:val="005233C9"/>
    <w:rsid w:val="00523644"/>
    <w:rsid w:val="00525563"/>
    <w:rsid w:val="00525706"/>
    <w:rsid w:val="005274A8"/>
    <w:rsid w:val="005322D4"/>
    <w:rsid w:val="0054069E"/>
    <w:rsid w:val="00544FB9"/>
    <w:rsid w:val="00546412"/>
    <w:rsid w:val="00552572"/>
    <w:rsid w:val="005767CC"/>
    <w:rsid w:val="00580060"/>
    <w:rsid w:val="00587AC9"/>
    <w:rsid w:val="00590D9F"/>
    <w:rsid w:val="00595D26"/>
    <w:rsid w:val="00595D3F"/>
    <w:rsid w:val="005979AD"/>
    <w:rsid w:val="005A0B93"/>
    <w:rsid w:val="005A1169"/>
    <w:rsid w:val="005A468F"/>
    <w:rsid w:val="005A5D73"/>
    <w:rsid w:val="005A74E6"/>
    <w:rsid w:val="005B3555"/>
    <w:rsid w:val="005B411B"/>
    <w:rsid w:val="005D0DE7"/>
    <w:rsid w:val="005D4D55"/>
    <w:rsid w:val="005E2CFB"/>
    <w:rsid w:val="0060631D"/>
    <w:rsid w:val="00607752"/>
    <w:rsid w:val="006111A7"/>
    <w:rsid w:val="0062378F"/>
    <w:rsid w:val="00623AF7"/>
    <w:rsid w:val="00633DE7"/>
    <w:rsid w:val="00641809"/>
    <w:rsid w:val="00644BBA"/>
    <w:rsid w:val="00645181"/>
    <w:rsid w:val="00646DEE"/>
    <w:rsid w:val="00651EEC"/>
    <w:rsid w:val="00664C29"/>
    <w:rsid w:val="006778B0"/>
    <w:rsid w:val="006972FC"/>
    <w:rsid w:val="006A351B"/>
    <w:rsid w:val="006A3980"/>
    <w:rsid w:val="006B0422"/>
    <w:rsid w:val="006C1B53"/>
    <w:rsid w:val="006C57B7"/>
    <w:rsid w:val="006C58FA"/>
    <w:rsid w:val="006D07B3"/>
    <w:rsid w:val="006D7730"/>
    <w:rsid w:val="006E5284"/>
    <w:rsid w:val="006F0C6F"/>
    <w:rsid w:val="006F3EB5"/>
    <w:rsid w:val="00702E34"/>
    <w:rsid w:val="007039D9"/>
    <w:rsid w:val="00704395"/>
    <w:rsid w:val="0071425F"/>
    <w:rsid w:val="0071509C"/>
    <w:rsid w:val="00716EE3"/>
    <w:rsid w:val="00720FF1"/>
    <w:rsid w:val="00723A8D"/>
    <w:rsid w:val="0072509C"/>
    <w:rsid w:val="00753AD7"/>
    <w:rsid w:val="0075572B"/>
    <w:rsid w:val="007A4E9E"/>
    <w:rsid w:val="007A5F77"/>
    <w:rsid w:val="007C7151"/>
    <w:rsid w:val="007D017D"/>
    <w:rsid w:val="007D09CD"/>
    <w:rsid w:val="007D0EF5"/>
    <w:rsid w:val="007F6070"/>
    <w:rsid w:val="008078AD"/>
    <w:rsid w:val="00812ED5"/>
    <w:rsid w:val="008277D9"/>
    <w:rsid w:val="00835DC8"/>
    <w:rsid w:val="00847551"/>
    <w:rsid w:val="0087327D"/>
    <w:rsid w:val="0088403E"/>
    <w:rsid w:val="00886036"/>
    <w:rsid w:val="00887414"/>
    <w:rsid w:val="00896D4D"/>
    <w:rsid w:val="008A3E8D"/>
    <w:rsid w:val="008A4F5B"/>
    <w:rsid w:val="008A7DF7"/>
    <w:rsid w:val="008B636D"/>
    <w:rsid w:val="008C3175"/>
    <w:rsid w:val="008C3451"/>
    <w:rsid w:val="008F1347"/>
    <w:rsid w:val="00902FC5"/>
    <w:rsid w:val="009120F9"/>
    <w:rsid w:val="009237C4"/>
    <w:rsid w:val="00944D54"/>
    <w:rsid w:val="00950252"/>
    <w:rsid w:val="00953D31"/>
    <w:rsid w:val="00967F5D"/>
    <w:rsid w:val="009702C5"/>
    <w:rsid w:val="00982B80"/>
    <w:rsid w:val="009A0F95"/>
    <w:rsid w:val="009A227D"/>
    <w:rsid w:val="009B210D"/>
    <w:rsid w:val="009B3ADF"/>
    <w:rsid w:val="009B788D"/>
    <w:rsid w:val="009C2D9F"/>
    <w:rsid w:val="009C3B52"/>
    <w:rsid w:val="009D2D5C"/>
    <w:rsid w:val="009D4B70"/>
    <w:rsid w:val="009E1B60"/>
    <w:rsid w:val="00A10120"/>
    <w:rsid w:val="00A107B6"/>
    <w:rsid w:val="00A253B6"/>
    <w:rsid w:val="00A27B0D"/>
    <w:rsid w:val="00A308E6"/>
    <w:rsid w:val="00A37A38"/>
    <w:rsid w:val="00A401CC"/>
    <w:rsid w:val="00A42218"/>
    <w:rsid w:val="00A70249"/>
    <w:rsid w:val="00A76861"/>
    <w:rsid w:val="00A8292F"/>
    <w:rsid w:val="00AC19CA"/>
    <w:rsid w:val="00B10F4A"/>
    <w:rsid w:val="00B165F5"/>
    <w:rsid w:val="00B33BEA"/>
    <w:rsid w:val="00B41567"/>
    <w:rsid w:val="00B57C9F"/>
    <w:rsid w:val="00B61C7C"/>
    <w:rsid w:val="00B8395A"/>
    <w:rsid w:val="00B845B3"/>
    <w:rsid w:val="00B850AD"/>
    <w:rsid w:val="00B85D8B"/>
    <w:rsid w:val="00BA2557"/>
    <w:rsid w:val="00BA66D2"/>
    <w:rsid w:val="00BB55C6"/>
    <w:rsid w:val="00BE3674"/>
    <w:rsid w:val="00C00EAE"/>
    <w:rsid w:val="00C01535"/>
    <w:rsid w:val="00C055DD"/>
    <w:rsid w:val="00C11055"/>
    <w:rsid w:val="00C14A7C"/>
    <w:rsid w:val="00C3049A"/>
    <w:rsid w:val="00C316BA"/>
    <w:rsid w:val="00C31B1E"/>
    <w:rsid w:val="00C51600"/>
    <w:rsid w:val="00C653EC"/>
    <w:rsid w:val="00C703D1"/>
    <w:rsid w:val="00C77645"/>
    <w:rsid w:val="00C874B9"/>
    <w:rsid w:val="00C877A3"/>
    <w:rsid w:val="00CC019E"/>
    <w:rsid w:val="00CE04C3"/>
    <w:rsid w:val="00CE16C9"/>
    <w:rsid w:val="00CE1C12"/>
    <w:rsid w:val="00CE76A0"/>
    <w:rsid w:val="00D04201"/>
    <w:rsid w:val="00D125CB"/>
    <w:rsid w:val="00D14666"/>
    <w:rsid w:val="00D148C6"/>
    <w:rsid w:val="00D27C2E"/>
    <w:rsid w:val="00D3280A"/>
    <w:rsid w:val="00D33850"/>
    <w:rsid w:val="00D5232E"/>
    <w:rsid w:val="00D56FD7"/>
    <w:rsid w:val="00D6010C"/>
    <w:rsid w:val="00D70C2A"/>
    <w:rsid w:val="00D714C2"/>
    <w:rsid w:val="00DA64F3"/>
    <w:rsid w:val="00DC4868"/>
    <w:rsid w:val="00DD06FF"/>
    <w:rsid w:val="00DD5FE9"/>
    <w:rsid w:val="00DE688A"/>
    <w:rsid w:val="00DF0D9D"/>
    <w:rsid w:val="00DF6CCE"/>
    <w:rsid w:val="00DF7DA1"/>
    <w:rsid w:val="00E00C7A"/>
    <w:rsid w:val="00E4344F"/>
    <w:rsid w:val="00E4629A"/>
    <w:rsid w:val="00E51A52"/>
    <w:rsid w:val="00E540E1"/>
    <w:rsid w:val="00E55B68"/>
    <w:rsid w:val="00E611C9"/>
    <w:rsid w:val="00E7320B"/>
    <w:rsid w:val="00EA086A"/>
    <w:rsid w:val="00EB00D2"/>
    <w:rsid w:val="00EB6836"/>
    <w:rsid w:val="00EC0470"/>
    <w:rsid w:val="00EC4EA6"/>
    <w:rsid w:val="00F311E9"/>
    <w:rsid w:val="00F53468"/>
    <w:rsid w:val="00F74360"/>
    <w:rsid w:val="00F87FC9"/>
    <w:rsid w:val="00F92790"/>
    <w:rsid w:val="00F93131"/>
    <w:rsid w:val="00FA031A"/>
    <w:rsid w:val="00FB462F"/>
    <w:rsid w:val="00FC0002"/>
    <w:rsid w:val="00FC7AC6"/>
    <w:rsid w:val="00FE16FA"/>
    <w:rsid w:val="00FE328A"/>
    <w:rsid w:val="0A733E75"/>
    <w:rsid w:val="20EF7479"/>
    <w:rsid w:val="2A2C24F5"/>
    <w:rsid w:val="444B6396"/>
    <w:rsid w:val="7F5F5D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665CD-6E99-4C2A-964B-82508DCA80B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1341</Words>
  <Characters>7648</Characters>
  <Lines>63</Lines>
  <Paragraphs>17</Paragraphs>
  <TotalTime>12</TotalTime>
  <ScaleCrop>false</ScaleCrop>
  <LinksUpToDate>false</LinksUpToDate>
  <CharactersWithSpaces>8972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2021-11-11T00:46:00Z</dcterms:created>
  <dc:creator>李航 null</dc:creator>
  <cp:lastModifiedBy>茜茜</cp:lastModifiedBy>
  <cp:lastPrinted>2021-11-13T02:25:00Z</cp:lastPrinted>
  <dcterms:modified xsi:type="dcterms:W3CDTF">2024-05-08T03:40:23Z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40C1D3109C684774973508838A6C87B5</vt:lpwstr>
  </property>
</Properties>
</file>