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sz w:val="32"/>
          <w:szCs w:val="32"/>
        </w:rPr>
      </w:pPr>
    </w:p>
    <w:p>
      <w:pPr>
        <w:spacing w:line="600" w:lineRule="exact"/>
        <w:jc w:val="center"/>
        <w:rPr>
          <w:rFonts w:ascii="仿宋" w:hAnsi="仿宋" w:eastAsia="仿宋" w:cs="仿宋"/>
          <w:sz w:val="32"/>
          <w:szCs w:val="32"/>
        </w:rPr>
      </w:pPr>
    </w:p>
    <w:p>
      <w:pPr>
        <w:spacing w:line="600" w:lineRule="exact"/>
        <w:jc w:val="center"/>
        <w:rPr>
          <w:rFonts w:ascii="仿宋" w:hAnsi="仿宋" w:eastAsia="仿宋" w:cs="仿宋"/>
          <w:sz w:val="32"/>
          <w:szCs w:val="32"/>
        </w:rPr>
      </w:pPr>
    </w:p>
    <w:p>
      <w:pPr>
        <w:spacing w:line="600" w:lineRule="exact"/>
        <w:jc w:val="center"/>
        <w:rPr>
          <w:rFonts w:ascii="仿宋" w:hAnsi="仿宋" w:eastAsia="仿宋" w:cs="仿宋"/>
          <w:sz w:val="32"/>
          <w:szCs w:val="32"/>
        </w:rPr>
      </w:pPr>
      <w:r>
        <w:rPr>
          <w:rFonts w:hint="eastAsia" w:ascii="仿宋" w:hAnsi="仿宋" w:eastAsia="仿宋" w:cs="仿宋"/>
          <w:sz w:val="32"/>
          <w:szCs w:val="32"/>
        </w:rPr>
        <w:t xml:space="preserve">                               衡清环审字〔2024〕</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pPr>
        <w:spacing w:line="600" w:lineRule="exact"/>
        <w:jc w:val="center"/>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pacing w:val="-28"/>
          <w:sz w:val="44"/>
          <w:szCs w:val="44"/>
          <w:highlight w:val="none"/>
        </w:rPr>
      </w:pPr>
      <w:r>
        <w:rPr>
          <w:rFonts w:hint="eastAsia" w:ascii="方正小标宋简体" w:hAnsi="方正小标宋简体" w:eastAsia="方正小标宋简体" w:cs="方正小标宋简体"/>
          <w:b/>
          <w:bCs/>
          <w:spacing w:val="-28"/>
          <w:sz w:val="44"/>
          <w:szCs w:val="44"/>
          <w:highlight w:val="none"/>
        </w:rPr>
        <w:t>衡阳市生态环境局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pacing w:val="-28"/>
          <w:sz w:val="44"/>
          <w:szCs w:val="44"/>
          <w:highlight w:val="none"/>
        </w:rPr>
      </w:pPr>
      <w:r>
        <w:rPr>
          <w:rFonts w:hint="eastAsia" w:ascii="方正小标宋简体" w:hAnsi="方正小标宋简体" w:eastAsia="方正小标宋简体" w:cs="方正小标宋简体"/>
          <w:b/>
          <w:bCs/>
          <w:spacing w:val="-28"/>
          <w:sz w:val="44"/>
          <w:szCs w:val="44"/>
          <w:highlight w:val="none"/>
        </w:rPr>
        <w:t>关于《</w:t>
      </w:r>
      <w:r>
        <w:rPr>
          <w:rFonts w:hint="eastAsia" w:ascii="方正小标宋简体" w:hAnsi="方正小标宋简体" w:eastAsia="方正小标宋简体" w:cs="方正小标宋简体"/>
          <w:b/>
          <w:bCs/>
          <w:spacing w:val="-28"/>
          <w:sz w:val="44"/>
          <w:szCs w:val="44"/>
          <w:highlight w:val="none"/>
          <w:lang w:val="en-US" w:eastAsia="zh-CN"/>
        </w:rPr>
        <w:t>湖南湘她他食品科技有限责任公司米面食品加工项目</w:t>
      </w:r>
      <w:r>
        <w:rPr>
          <w:rFonts w:hint="eastAsia" w:ascii="方正小标宋简体" w:hAnsi="方正小标宋简体" w:eastAsia="方正小标宋简体" w:cs="方正小标宋简体"/>
          <w:b/>
          <w:bCs/>
          <w:spacing w:val="-28"/>
          <w:sz w:val="44"/>
          <w:szCs w:val="44"/>
          <w:highlight w:val="none"/>
        </w:rPr>
        <w:t>环境影响报告表》的批复</w:t>
      </w:r>
    </w:p>
    <w:p>
      <w:pPr>
        <w:spacing w:line="460" w:lineRule="atLeast"/>
        <w:rPr>
          <w:rStyle w:val="47"/>
          <w:rFonts w:ascii="仿宋" w:hAnsi="仿宋" w:eastAsia="仿宋" w:cs="仿宋"/>
          <w:color w:val="auto"/>
          <w:sz w:val="32"/>
          <w:szCs w:val="32"/>
          <w:highlight w:val="none"/>
        </w:rPr>
      </w:pPr>
    </w:p>
    <w:p>
      <w:pPr>
        <w:keepNext w:val="0"/>
        <w:keepLines w:val="0"/>
        <w:pageBreakBefore w:val="0"/>
        <w:kinsoku/>
        <w:wordWrap/>
        <w:overflowPunct/>
        <w:topLinePunct w:val="0"/>
        <w:autoSpaceDE/>
        <w:autoSpaceDN/>
        <w:bidi w:val="0"/>
        <w:spacing w:line="600" w:lineRule="exact"/>
        <w:ind w:firstLine="0" w:firstLineChars="0"/>
        <w:jc w:val="both"/>
        <w:textAlignment w:val="auto"/>
        <w:rPr>
          <w:rStyle w:val="47"/>
          <w:rFonts w:hint="eastAsia" w:ascii="仿宋_GB2312" w:hAnsi="仿宋_GB2312" w:eastAsia="仿宋_GB2312" w:cs="仿宋_GB2312"/>
          <w:color w:val="auto"/>
          <w:sz w:val="32"/>
          <w:szCs w:val="32"/>
          <w:highlight w:val="none"/>
        </w:rPr>
      </w:pPr>
      <w:r>
        <w:rPr>
          <w:rStyle w:val="47"/>
          <w:rFonts w:hint="eastAsia" w:ascii="仿宋_GB2312" w:hAnsi="仿宋_GB2312" w:eastAsia="仿宋_GB2312" w:cs="仿宋_GB2312"/>
          <w:color w:val="auto"/>
          <w:sz w:val="32"/>
          <w:szCs w:val="32"/>
          <w:highlight w:val="none"/>
          <w:lang w:val="en-US" w:eastAsia="zh-CN"/>
        </w:rPr>
        <w:t>湖南湘她他食品科技有限责任公司</w:t>
      </w:r>
      <w:r>
        <w:rPr>
          <w:rStyle w:val="47"/>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Style w:val="47"/>
          <w:rFonts w:hint="eastAsia" w:ascii="仿宋_GB2312" w:hAnsi="仿宋_GB2312" w:eastAsia="仿宋_GB2312" w:cs="仿宋_GB2312"/>
          <w:sz w:val="32"/>
          <w:szCs w:val="32"/>
          <w:highlight w:val="none"/>
        </w:rPr>
      </w:pPr>
      <w:r>
        <w:rPr>
          <w:rStyle w:val="47"/>
          <w:rFonts w:hint="eastAsia" w:ascii="仿宋_GB2312" w:hAnsi="仿宋_GB2312" w:eastAsia="仿宋_GB2312" w:cs="仿宋_GB2312"/>
          <w:sz w:val="32"/>
          <w:szCs w:val="32"/>
          <w:highlight w:val="none"/>
        </w:rPr>
        <w:t>你公司</w:t>
      </w:r>
      <w:r>
        <w:rPr>
          <w:rStyle w:val="47"/>
          <w:rFonts w:hint="eastAsia" w:ascii="仿宋_GB2312" w:hAnsi="仿宋_GB2312" w:eastAsia="仿宋_GB2312" w:cs="仿宋_GB2312"/>
          <w:sz w:val="32"/>
          <w:szCs w:val="32"/>
          <w:highlight w:val="none"/>
          <w:lang w:val="en-US" w:eastAsia="zh-CN"/>
        </w:rPr>
        <w:t>报送</w:t>
      </w:r>
      <w:r>
        <w:rPr>
          <w:rStyle w:val="47"/>
          <w:rFonts w:hint="eastAsia" w:ascii="仿宋_GB2312" w:hAnsi="仿宋_GB2312" w:eastAsia="仿宋_GB2312" w:cs="仿宋_GB2312"/>
          <w:sz w:val="32"/>
          <w:szCs w:val="32"/>
          <w:highlight w:val="none"/>
        </w:rPr>
        <w:t>的《</w:t>
      </w:r>
      <w:r>
        <w:rPr>
          <w:rStyle w:val="47"/>
          <w:rFonts w:hint="eastAsia" w:ascii="仿宋_GB2312" w:hAnsi="仿宋_GB2312" w:eastAsia="仿宋_GB2312" w:cs="仿宋_GB2312"/>
          <w:sz w:val="32"/>
          <w:szCs w:val="32"/>
          <w:highlight w:val="none"/>
          <w:lang w:val="en-US" w:eastAsia="zh-CN"/>
        </w:rPr>
        <w:t>湖南湘她他食品科技有限责任公司米面食品加工项目环境影响报告表</w:t>
      </w:r>
      <w:r>
        <w:rPr>
          <w:rStyle w:val="47"/>
          <w:rFonts w:hint="eastAsia" w:ascii="仿宋_GB2312" w:hAnsi="仿宋_GB2312" w:eastAsia="仿宋_GB2312" w:cs="仿宋_GB2312"/>
          <w:sz w:val="32"/>
          <w:szCs w:val="32"/>
          <w:highlight w:val="none"/>
        </w:rPr>
        <w:t>》（报批稿）及专家组评审意见均已收悉，经研究，批复如下：</w:t>
      </w:r>
    </w:p>
    <w:p>
      <w:pPr>
        <w:pStyle w:val="48"/>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Style w:val="47"/>
          <w:rFonts w:hint="eastAsia" w:ascii="仿宋_GB2312" w:hAnsi="仿宋_GB2312" w:eastAsia="仿宋_GB2312" w:cs="仿宋_GB2312"/>
          <w:sz w:val="32"/>
          <w:szCs w:val="32"/>
          <w:highlight w:val="none"/>
        </w:rPr>
      </w:pPr>
      <w:r>
        <w:rPr>
          <w:rStyle w:val="47"/>
          <w:rFonts w:hint="eastAsia" w:ascii="仿宋_GB2312" w:hAnsi="仿宋_GB2312" w:eastAsia="仿宋_GB2312" w:cs="仿宋_GB2312"/>
          <w:sz w:val="32"/>
          <w:szCs w:val="32"/>
          <w:highlight w:val="none"/>
          <w:lang w:val="en-US" w:eastAsia="zh-CN"/>
        </w:rPr>
        <w:t>一、</w:t>
      </w:r>
      <w:r>
        <w:rPr>
          <w:rStyle w:val="47"/>
          <w:rFonts w:hint="eastAsia" w:ascii="仿宋_GB2312" w:hAnsi="仿宋_GB2312" w:eastAsia="仿宋_GB2312" w:cs="仿宋_GB2312"/>
          <w:sz w:val="32"/>
          <w:szCs w:val="32"/>
          <w:highlight w:val="none"/>
        </w:rPr>
        <w:t>项目建设的主要内容。</w:t>
      </w:r>
      <w:r>
        <w:rPr>
          <w:rStyle w:val="47"/>
          <w:rFonts w:hint="eastAsia" w:ascii="仿宋_GB2312" w:hAnsi="仿宋_GB2312" w:eastAsia="仿宋_GB2312" w:cs="仿宋_GB2312"/>
          <w:color w:val="auto"/>
          <w:sz w:val="32"/>
          <w:szCs w:val="32"/>
          <w:highlight w:val="none"/>
          <w:lang w:val="en-US" w:eastAsia="zh-CN"/>
        </w:rPr>
        <w:t>湖南湘她他食品科技有限责任公司</w:t>
      </w:r>
      <w:r>
        <w:rPr>
          <w:rStyle w:val="47"/>
          <w:rFonts w:hint="eastAsia" w:ascii="仿宋_GB2312" w:hAnsi="仿宋_GB2312" w:eastAsia="仿宋_GB2312" w:cs="仿宋_GB2312"/>
          <w:color w:val="auto"/>
          <w:sz w:val="32"/>
          <w:szCs w:val="32"/>
          <w:highlight w:val="none"/>
        </w:rPr>
        <w:t>拟投资</w:t>
      </w:r>
      <w:r>
        <w:rPr>
          <w:rStyle w:val="47"/>
          <w:rFonts w:hint="eastAsia" w:ascii="仿宋_GB2312" w:hAnsi="仿宋_GB2312" w:eastAsia="仿宋_GB2312" w:cs="仿宋_GB2312"/>
          <w:color w:val="auto"/>
          <w:sz w:val="32"/>
          <w:szCs w:val="32"/>
          <w:highlight w:val="none"/>
          <w:lang w:val="en-US" w:eastAsia="zh-CN"/>
        </w:rPr>
        <w:t>1500</w:t>
      </w:r>
      <w:r>
        <w:rPr>
          <w:rStyle w:val="47"/>
          <w:rFonts w:hint="eastAsia" w:ascii="仿宋_GB2312" w:hAnsi="仿宋_GB2312" w:eastAsia="仿宋_GB2312" w:cs="仿宋_GB2312"/>
          <w:color w:val="auto"/>
          <w:sz w:val="32"/>
          <w:szCs w:val="32"/>
          <w:highlight w:val="none"/>
        </w:rPr>
        <w:t>万元</w:t>
      </w:r>
      <w:r>
        <w:rPr>
          <w:rStyle w:val="47"/>
          <w:rFonts w:hint="eastAsia" w:ascii="仿宋_GB2312" w:hAnsi="仿宋_GB2312" w:eastAsia="仿宋_GB2312" w:cs="仿宋_GB2312"/>
          <w:color w:val="auto"/>
          <w:sz w:val="32"/>
          <w:szCs w:val="32"/>
          <w:highlight w:val="none"/>
          <w:lang w:val="en-US" w:eastAsia="zh-CN"/>
        </w:rPr>
        <w:t>租赁衡南高新技术开发区云集片区湖南医友医疗科技有限公司已建成标准厂房建设年产方便食品1050t、调味料740t加工项目</w:t>
      </w:r>
      <w:r>
        <w:rPr>
          <w:rStyle w:val="47"/>
          <w:rFonts w:hint="eastAsia" w:ascii="仿宋_GB2312" w:hAnsi="仿宋_GB2312" w:eastAsia="仿宋_GB2312" w:cs="仿宋_GB2312"/>
          <w:color w:val="auto"/>
          <w:sz w:val="32"/>
          <w:szCs w:val="32"/>
          <w:highlight w:val="none"/>
        </w:rPr>
        <w:t>。</w:t>
      </w:r>
      <w:r>
        <w:rPr>
          <w:rStyle w:val="47"/>
          <w:rFonts w:hint="eastAsia" w:ascii="仿宋_GB2312" w:hAnsi="仿宋_GB2312" w:eastAsia="仿宋_GB2312" w:cs="仿宋_GB2312"/>
          <w:sz w:val="32"/>
          <w:szCs w:val="32"/>
          <w:highlight w:val="none"/>
        </w:rPr>
        <w:t>该项目环境影响报告表提出的污染防治措施客观可行，从环保角度分析，同意该项目建设。</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Style w:val="47"/>
          <w:rFonts w:hint="eastAsia" w:ascii="仿宋_GB2312" w:hAnsi="仿宋_GB2312" w:eastAsia="仿宋_GB2312" w:cs="仿宋_GB2312"/>
          <w:sz w:val="32"/>
          <w:szCs w:val="32"/>
          <w:highlight w:val="none"/>
        </w:rPr>
        <w:t>二、</w:t>
      </w:r>
      <w:r>
        <w:rPr>
          <w:rFonts w:hint="eastAsia" w:ascii="仿宋_GB2312" w:hAnsi="仿宋_GB2312" w:eastAsia="仿宋_GB2312" w:cs="仿宋_GB2312"/>
          <w:color w:val="000000"/>
          <w:sz w:val="32"/>
          <w:szCs w:val="32"/>
          <w:highlight w:val="none"/>
        </w:rPr>
        <w:t>在项目建设和运</w:t>
      </w:r>
      <w:r>
        <w:rPr>
          <w:rFonts w:hint="eastAsia" w:ascii="仿宋_GB2312" w:hAnsi="仿宋_GB2312" w:eastAsia="仿宋_GB2312" w:cs="仿宋_GB2312"/>
          <w:color w:val="000000"/>
          <w:sz w:val="32"/>
          <w:szCs w:val="32"/>
          <w:highlight w:val="none"/>
          <w:lang w:val="en-US" w:eastAsia="zh-CN"/>
        </w:rPr>
        <w:t>营</w:t>
      </w:r>
      <w:r>
        <w:rPr>
          <w:rFonts w:hint="eastAsia" w:ascii="仿宋_GB2312" w:hAnsi="仿宋_GB2312" w:eastAsia="仿宋_GB2312" w:cs="仿宋_GB2312"/>
          <w:color w:val="000000"/>
          <w:sz w:val="32"/>
          <w:szCs w:val="32"/>
          <w:highlight w:val="none"/>
        </w:rPr>
        <w:t>中，必须严格执行环保法律法规，认真落实报告表提出的各项污染防治措施，并着重做好以下工作：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Style w:val="47"/>
          <w:rFonts w:hint="eastAsia" w:ascii="仿宋_GB2312" w:hAnsi="仿宋_GB2312" w:eastAsia="仿宋_GB2312" w:cs="仿宋_GB2312"/>
          <w:sz w:val="32"/>
          <w:szCs w:val="32"/>
          <w:lang w:val="en-US" w:eastAsia="zh-CN"/>
        </w:rPr>
      </w:pPr>
      <w:r>
        <w:rPr>
          <w:rStyle w:val="47"/>
          <w:rFonts w:hint="eastAsia" w:ascii="仿宋_GB2312" w:hAnsi="仿宋_GB2312" w:eastAsia="仿宋_GB2312" w:cs="仿宋_GB2312"/>
          <w:sz w:val="32"/>
          <w:szCs w:val="32"/>
          <w:lang w:val="en-US" w:eastAsia="zh-CN"/>
        </w:rPr>
        <w:t>（一）做好大气污染防治工作。项目天然气燃烧废气经17m排气筒（DA001）排放，二氧化硫、氮氧化物和颗粒物排放满足《锅炉大气污染物排放标准（GB13271-2014）表2燃气锅炉标准限值；投料粉尘经集尘器收集后在车间内无组织排放，厂界颗粒物排放满足《大气污染物综合排放标准》（GB16297-1996）表2无组织排放监控浓度限值；老化工序异味（以臭气浓度计）通过加强车间通风换气，厂界臭气浓度排放满足《恶臭污染物排放标准》（GB14554-93）表1二级新改扩建标准限值；半固态（酱）调味料熬制油烟经油烟净化器处理后引至屋顶排放，油烟排放满足《饮食业油烟排放标准》（试行）（GB18483-2001）标准限值要求。</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Style w:val="47"/>
          <w:rFonts w:hint="eastAsia" w:ascii="仿宋_GB2312" w:hAnsi="仿宋_GB2312" w:eastAsia="仿宋_GB2312" w:cs="仿宋_GB2312"/>
          <w:sz w:val="32"/>
          <w:szCs w:val="32"/>
          <w:lang w:val="en-US" w:eastAsia="zh-CN"/>
        </w:rPr>
      </w:pPr>
      <w:bookmarkStart w:id="0" w:name="OLE_LINK1"/>
      <w:r>
        <w:rPr>
          <w:rStyle w:val="47"/>
          <w:rFonts w:hint="eastAsia" w:ascii="仿宋_GB2312" w:hAnsi="仿宋_GB2312" w:eastAsia="仿宋_GB2312" w:cs="仿宋_GB2312"/>
          <w:sz w:val="32"/>
          <w:szCs w:val="32"/>
        </w:rPr>
        <w:t>（二）强化水污染防治措施。</w:t>
      </w:r>
      <w:bookmarkEnd w:id="0"/>
      <w:r>
        <w:rPr>
          <w:rStyle w:val="47"/>
          <w:rFonts w:hint="eastAsia" w:ascii="仿宋_GB2312" w:hAnsi="仿宋_GB2312" w:eastAsia="仿宋_GB2312" w:cs="仿宋_GB2312"/>
          <w:sz w:val="32"/>
          <w:szCs w:val="32"/>
        </w:rPr>
        <w:t>项目</w:t>
      </w:r>
      <w:r>
        <w:rPr>
          <w:rStyle w:val="47"/>
          <w:rFonts w:hint="eastAsia" w:ascii="仿宋_GB2312" w:hAnsi="仿宋_GB2312" w:eastAsia="仿宋_GB2312" w:cs="仿宋_GB2312"/>
          <w:sz w:val="32"/>
          <w:szCs w:val="32"/>
          <w:lang w:val="en-US" w:eastAsia="zh-CN"/>
        </w:rPr>
        <w:t>生活污水和生产废水分别经化粪池和隔油沉淀池预处理达《污水综合排放标准》（GB8978-1996）表4三级标准后，排入</w:t>
      </w:r>
      <w:r>
        <w:rPr>
          <w:rStyle w:val="47"/>
          <w:rFonts w:hint="eastAsia" w:ascii="仿宋_GB2312" w:hAnsi="仿宋_GB2312" w:eastAsia="仿宋_GB2312" w:cs="仿宋_GB2312"/>
          <w:color w:val="000000" w:themeColor="text1"/>
          <w:sz w:val="32"/>
          <w:szCs w:val="32"/>
          <w:lang w:val="en-US" w:eastAsia="zh-CN"/>
          <w14:textFill>
            <w14:solidFill>
              <w14:schemeClr w14:val="tx1"/>
            </w14:solidFill>
          </w14:textFill>
        </w:rPr>
        <w:t>衡南县污水厂处理</w:t>
      </w:r>
      <w:r>
        <w:rPr>
          <w:rStyle w:val="47"/>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Style w:val="47"/>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（三）加强各类固废管理，并采取有效措施防止二次污染</w:t>
      </w:r>
      <w:r>
        <w:rPr>
          <w:rStyle w:val="47"/>
          <w:rFonts w:hint="eastAsia" w:ascii="仿宋_GB2312" w:hAnsi="仿宋_GB2312" w:eastAsia="仿宋_GB2312" w:cs="仿宋_GB2312"/>
          <w:sz w:val="32"/>
          <w:szCs w:val="32"/>
          <w:lang w:eastAsia="zh-CN"/>
        </w:rPr>
        <w:t>。</w:t>
      </w:r>
      <w:r>
        <w:rPr>
          <w:rStyle w:val="47"/>
          <w:rFonts w:hint="eastAsia" w:ascii="仿宋_GB2312" w:hAnsi="仿宋_GB2312" w:eastAsia="仿宋_GB2312" w:cs="仿宋_GB2312"/>
          <w:sz w:val="32"/>
          <w:szCs w:val="32"/>
        </w:rPr>
        <w:t>项目</w:t>
      </w:r>
      <w:r>
        <w:rPr>
          <w:rStyle w:val="47"/>
          <w:rFonts w:hint="eastAsia" w:ascii="仿宋_GB2312" w:hAnsi="仿宋_GB2312" w:eastAsia="仿宋_GB2312" w:cs="仿宋_GB2312"/>
          <w:sz w:val="32"/>
          <w:szCs w:val="32"/>
          <w:lang w:val="en-US" w:eastAsia="zh-CN"/>
        </w:rPr>
        <w:t>废包装材料外售综合利用；边角料和实验室检验不合格产品外售当地养殖场作原料；集尘器收集的粉尘回用于生产；污泥作为农田施肥使用；生活垃圾交由环卫部门定期清运处理。</w:t>
      </w:r>
      <w:r>
        <w:rPr>
          <w:rStyle w:val="47"/>
          <w:rFonts w:hint="eastAsia" w:ascii="仿宋_GB2312" w:hAnsi="仿宋_GB2312" w:eastAsia="仿宋_GB2312" w:cs="仿宋_GB2312"/>
          <w:sz w:val="32"/>
          <w:szCs w:val="32"/>
        </w:rPr>
        <w:t>一般工业固体废物贮存、处置执行《一般工业固体废物贮存和填埋污染控制标准》(GB18599-2020)。</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Style w:val="47"/>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（四）</w:t>
      </w:r>
      <w:r>
        <w:rPr>
          <w:rStyle w:val="47"/>
          <w:rFonts w:hint="eastAsia" w:ascii="仿宋_GB2312" w:hAnsi="仿宋_GB2312" w:eastAsia="仿宋_GB2312" w:cs="仿宋_GB2312"/>
          <w:color w:val="auto"/>
          <w:sz w:val="32"/>
          <w:szCs w:val="32"/>
        </w:rPr>
        <w:t>做好噪声污染控制工作。项目生产设备噪声通过</w:t>
      </w:r>
      <w:r>
        <w:rPr>
          <w:rStyle w:val="47"/>
          <w:rFonts w:hint="eastAsia" w:ascii="仿宋_GB2312" w:hAnsi="仿宋_GB2312" w:eastAsia="仿宋_GB2312" w:cs="仿宋_GB2312"/>
          <w:color w:val="auto"/>
          <w:sz w:val="32"/>
          <w:szCs w:val="32"/>
          <w:lang w:val="en-US" w:eastAsia="zh-CN"/>
        </w:rPr>
        <w:t>厂房隔噪，</w:t>
      </w:r>
      <w:r>
        <w:rPr>
          <w:rStyle w:val="47"/>
          <w:rFonts w:hint="eastAsia" w:ascii="仿宋_GB2312" w:hAnsi="仿宋_GB2312" w:eastAsia="仿宋_GB2312" w:cs="仿宋_GB2312"/>
          <w:color w:val="auto"/>
          <w:sz w:val="32"/>
          <w:szCs w:val="32"/>
        </w:rPr>
        <w:t>选用低噪声设备，</w:t>
      </w:r>
      <w:r>
        <w:rPr>
          <w:rStyle w:val="47"/>
          <w:rFonts w:hint="eastAsia" w:ascii="仿宋_GB2312" w:hAnsi="仿宋_GB2312" w:eastAsia="仿宋_GB2312" w:cs="仿宋_GB2312"/>
          <w:color w:val="auto"/>
          <w:sz w:val="32"/>
          <w:szCs w:val="32"/>
          <w:lang w:val="en-US" w:eastAsia="zh-CN"/>
        </w:rPr>
        <w:t>采取消声减振并对设备</w:t>
      </w:r>
      <w:r>
        <w:rPr>
          <w:rStyle w:val="47"/>
          <w:rFonts w:hint="eastAsia" w:ascii="仿宋_GB2312" w:hAnsi="仿宋_GB2312" w:eastAsia="仿宋_GB2312" w:cs="仿宋_GB2312"/>
          <w:color w:val="auto"/>
          <w:sz w:val="32"/>
          <w:szCs w:val="32"/>
        </w:rPr>
        <w:t>合理布</w:t>
      </w:r>
      <w:r>
        <w:rPr>
          <w:rStyle w:val="47"/>
          <w:rFonts w:hint="eastAsia" w:ascii="仿宋_GB2312" w:hAnsi="仿宋_GB2312" w:eastAsia="仿宋_GB2312" w:cs="仿宋_GB2312"/>
          <w:color w:val="auto"/>
          <w:sz w:val="32"/>
          <w:szCs w:val="32"/>
          <w:lang w:val="en-US" w:eastAsia="zh-CN"/>
        </w:rPr>
        <w:t>置等措施，</w:t>
      </w:r>
      <w:r>
        <w:rPr>
          <w:rStyle w:val="47"/>
          <w:rFonts w:hint="eastAsia" w:ascii="仿宋_GB2312" w:hAnsi="仿宋_GB2312" w:eastAsia="仿宋_GB2312" w:cs="仿宋_GB2312"/>
          <w:color w:val="auto"/>
          <w:sz w:val="32"/>
          <w:szCs w:val="32"/>
        </w:rPr>
        <w:t>确保营运期厂界噪声</w:t>
      </w:r>
      <w:r>
        <w:rPr>
          <w:rStyle w:val="47"/>
          <w:rFonts w:hint="eastAsia" w:ascii="仿宋_GB2312" w:hAnsi="仿宋_GB2312" w:eastAsia="仿宋_GB2312" w:cs="仿宋_GB2312"/>
          <w:color w:val="auto"/>
          <w:sz w:val="32"/>
          <w:szCs w:val="32"/>
          <w:lang w:val="en-US" w:eastAsia="zh-CN"/>
        </w:rPr>
        <w:t>达到</w:t>
      </w:r>
      <w:r>
        <w:rPr>
          <w:rStyle w:val="47"/>
          <w:rFonts w:hint="eastAsia" w:ascii="仿宋_GB2312" w:hAnsi="仿宋_GB2312" w:eastAsia="仿宋_GB2312" w:cs="仿宋_GB2312"/>
          <w:sz w:val="32"/>
          <w:szCs w:val="32"/>
        </w:rPr>
        <w:t>《工业企业厂界环境噪声排放标准》(GB12348-2008)中</w:t>
      </w:r>
      <w:r>
        <w:rPr>
          <w:rStyle w:val="47"/>
          <w:rFonts w:hint="eastAsia" w:ascii="仿宋_GB2312" w:hAnsi="仿宋_GB2312" w:eastAsia="仿宋_GB2312" w:cs="仿宋_GB2312"/>
          <w:sz w:val="32"/>
          <w:szCs w:val="32"/>
          <w:lang w:eastAsia="zh-CN"/>
        </w:rPr>
        <w:t>的</w:t>
      </w:r>
      <w:bookmarkStart w:id="1" w:name="_GoBack"/>
      <w:bookmarkEnd w:id="1"/>
      <w:r>
        <w:rPr>
          <w:rStyle w:val="47"/>
          <w:rFonts w:hint="eastAsia" w:ascii="仿宋_GB2312" w:hAnsi="仿宋_GB2312" w:eastAsia="仿宋_GB2312" w:cs="仿宋_GB2312"/>
          <w:sz w:val="32"/>
          <w:szCs w:val="32"/>
          <w:lang w:val="en-US" w:eastAsia="zh-CN"/>
        </w:rPr>
        <w:t>3</w:t>
      </w:r>
      <w:r>
        <w:rPr>
          <w:rStyle w:val="47"/>
          <w:rFonts w:hint="eastAsia" w:ascii="仿宋_GB2312" w:hAnsi="仿宋_GB2312" w:eastAsia="仿宋_GB2312" w:cs="仿宋_GB2312"/>
          <w:sz w:val="32"/>
          <w:szCs w:val="32"/>
        </w:rPr>
        <w:t>类标准限值要求。</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Style w:val="47"/>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（五）总量控制指标。SO</w:t>
      </w:r>
      <w:r>
        <w:rPr>
          <w:rStyle w:val="47"/>
          <w:rFonts w:hint="eastAsia" w:ascii="仿宋_GB2312" w:hAnsi="仿宋_GB2312" w:eastAsia="仿宋_GB2312" w:cs="仿宋_GB2312"/>
          <w:sz w:val="32"/>
          <w:szCs w:val="32"/>
          <w:vertAlign w:val="subscript"/>
        </w:rPr>
        <w:t>2</w:t>
      </w:r>
      <w:r>
        <w:rPr>
          <w:rStyle w:val="47"/>
          <w:rFonts w:hint="eastAsia" w:ascii="仿宋_GB2312" w:hAnsi="仿宋_GB2312" w:eastAsia="仿宋_GB2312" w:cs="仿宋_GB2312"/>
          <w:sz w:val="32"/>
          <w:szCs w:val="32"/>
        </w:rPr>
        <w:t>:</w:t>
      </w:r>
      <w:r>
        <w:rPr>
          <w:rStyle w:val="47"/>
          <w:rFonts w:hint="eastAsia" w:ascii="仿宋_GB2312" w:hAnsi="仿宋_GB2312" w:eastAsia="仿宋_GB2312" w:cs="仿宋_GB2312"/>
          <w:sz w:val="32"/>
          <w:szCs w:val="32"/>
          <w:lang w:val="en-US" w:eastAsia="zh-CN"/>
        </w:rPr>
        <w:t>0.01</w:t>
      </w:r>
      <w:r>
        <w:rPr>
          <w:rStyle w:val="47"/>
          <w:rFonts w:hint="eastAsia" w:ascii="仿宋_GB2312" w:hAnsi="仿宋_GB2312" w:eastAsia="仿宋_GB2312" w:cs="仿宋_GB2312"/>
          <w:sz w:val="32"/>
          <w:szCs w:val="32"/>
        </w:rPr>
        <w:t>t/a，NO</w:t>
      </w:r>
      <w:r>
        <w:rPr>
          <w:rStyle w:val="47"/>
          <w:rFonts w:hint="eastAsia" w:ascii="仿宋_GB2312" w:hAnsi="仿宋_GB2312" w:eastAsia="仿宋_GB2312" w:cs="仿宋_GB2312"/>
          <w:sz w:val="32"/>
          <w:szCs w:val="32"/>
          <w:vertAlign w:val="subscript"/>
        </w:rPr>
        <w:t>X</w:t>
      </w:r>
      <w:r>
        <w:rPr>
          <w:rStyle w:val="47"/>
          <w:rFonts w:hint="eastAsia" w:ascii="仿宋_GB2312" w:hAnsi="仿宋_GB2312" w:eastAsia="仿宋_GB2312" w:cs="仿宋_GB2312"/>
          <w:sz w:val="32"/>
          <w:szCs w:val="32"/>
          <w:vertAlign w:val="baseline"/>
          <w:lang w:val="en-US" w:eastAsia="zh-CN"/>
        </w:rPr>
        <w:t>:</w:t>
      </w:r>
      <w:r>
        <w:rPr>
          <w:rStyle w:val="47"/>
          <w:rFonts w:hint="eastAsia" w:ascii="仿宋_GB2312" w:hAnsi="仿宋_GB2312" w:eastAsia="仿宋_GB2312" w:cs="仿宋_GB2312"/>
          <w:sz w:val="32"/>
          <w:szCs w:val="32"/>
          <w:lang w:val="en-US" w:eastAsia="zh-CN"/>
        </w:rPr>
        <w:t>0.30</w:t>
      </w:r>
      <w:r>
        <w:rPr>
          <w:rStyle w:val="47"/>
          <w:rFonts w:hint="eastAsia" w:ascii="仿宋_GB2312" w:hAnsi="仿宋_GB2312" w:eastAsia="仿宋_GB2312" w:cs="仿宋_GB2312"/>
          <w:sz w:val="32"/>
          <w:szCs w:val="32"/>
        </w:rPr>
        <w:t>t/a。</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Style w:val="47"/>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三、加强日常环境管理。建设单位应安排专职环保管理人员，建立健全环境管理制度，制定有效的风险防范措施和应急预案，防止发生环境风险事故。</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Style w:val="47"/>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四、</w:t>
      </w:r>
      <w:r>
        <w:rPr>
          <w:rStyle w:val="47"/>
          <w:rFonts w:hint="eastAsia" w:ascii="仿宋_GB2312" w:hAnsi="仿宋_GB2312" w:eastAsia="仿宋_GB2312" w:cs="仿宋_GB2312"/>
          <w:color w:val="auto"/>
          <w:sz w:val="32"/>
          <w:szCs w:val="32"/>
        </w:rPr>
        <w:t>项目竣工后，</w:t>
      </w:r>
      <w:r>
        <w:rPr>
          <w:rStyle w:val="47"/>
          <w:rFonts w:hint="eastAsia" w:ascii="仿宋_GB2312" w:hAnsi="仿宋_GB2312" w:eastAsia="仿宋_GB2312" w:cs="仿宋_GB2312"/>
          <w:color w:val="auto"/>
          <w:sz w:val="32"/>
          <w:szCs w:val="32"/>
          <w:lang w:eastAsia="zh-CN"/>
        </w:rPr>
        <w:t>必须严格执行排污许可制度</w:t>
      </w:r>
      <w:r>
        <w:rPr>
          <w:rStyle w:val="47"/>
          <w:rFonts w:hint="eastAsia" w:ascii="仿宋_GB2312" w:hAnsi="仿宋_GB2312" w:eastAsia="仿宋_GB2312" w:cs="仿宋_GB2312"/>
          <w:color w:val="auto"/>
          <w:sz w:val="32"/>
          <w:szCs w:val="32"/>
          <w:lang w:val="en-US" w:eastAsia="zh-CN"/>
        </w:rPr>
        <w:t>,在发生实际排污行为前按照国家有关规定申领排污许可证。同时，</w:t>
      </w:r>
      <w:r>
        <w:rPr>
          <w:rStyle w:val="47"/>
          <w:rFonts w:hint="eastAsia" w:ascii="仿宋_GB2312" w:hAnsi="仿宋_GB2312" w:eastAsia="仿宋_GB2312" w:cs="仿宋_GB2312"/>
          <w:color w:val="auto"/>
          <w:sz w:val="32"/>
          <w:szCs w:val="32"/>
        </w:rPr>
        <w:t>按照相关规定要求做好环保竣工验收工作，并主动接受衡南生态环境综合行政执法大队监管。如项目性质、规模、地点、采用的工艺及污染防治措施等发生重大变动，建设单位应当依法重新报批该项目的环境影响评价文件</w:t>
      </w:r>
      <w:r>
        <w:rPr>
          <w:rStyle w:val="47"/>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00" w:lineRule="exact"/>
        <w:ind w:firstLine="0" w:firstLineChars="0"/>
        <w:jc w:val="both"/>
        <w:textAlignment w:val="auto"/>
        <w:rPr>
          <w:rStyle w:val="47"/>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0" w:firstLineChars="0"/>
        <w:jc w:val="both"/>
        <w:textAlignment w:val="auto"/>
        <w:rPr>
          <w:rStyle w:val="47"/>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0" w:firstLineChars="0"/>
        <w:jc w:val="right"/>
        <w:textAlignment w:val="auto"/>
        <w:rPr>
          <w:rFonts w:hint="eastAsia" w:ascii="仿宋_GB2312" w:hAnsi="仿宋_GB2312" w:eastAsia="仿宋_GB2312" w:cs="仿宋_GB2312"/>
          <w:color w:val="000000"/>
          <w:sz w:val="32"/>
          <w:szCs w:val="32"/>
        </w:rPr>
      </w:pPr>
      <w:r>
        <w:rPr>
          <w:rStyle w:val="47"/>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000000"/>
          <w:sz w:val="32"/>
          <w:szCs w:val="32"/>
        </w:rPr>
        <w:t xml:space="preserve">            衡阳市生态环境局</w:t>
      </w:r>
    </w:p>
    <w:p>
      <w:pPr>
        <w:keepNext w:val="0"/>
        <w:keepLines w:val="0"/>
        <w:pageBreakBefore w:val="0"/>
        <w:kinsoku/>
        <w:wordWrap/>
        <w:overflowPunct/>
        <w:topLinePunct w:val="0"/>
        <w:autoSpaceDE/>
        <w:autoSpaceDN/>
        <w:bidi w:val="0"/>
        <w:spacing w:line="600" w:lineRule="exact"/>
        <w:ind w:firstLine="0" w:firstLineChars="0"/>
        <w:jc w:val="righ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 xml:space="preserve">                         2024年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w:t>
      </w:r>
    </w:p>
    <w:p/>
    <w:sectPr>
      <w:footerReference r:id="rId3" w:type="default"/>
      <w:pgSz w:w="11906" w:h="16838"/>
      <w:pgMar w:top="1440"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E4CA2"/>
    <w:multiLevelType w:val="singleLevel"/>
    <w:tmpl w:val="A51E4CA2"/>
    <w:lvl w:ilvl="0" w:tentative="0">
      <w:start w:val="1"/>
      <w:numFmt w:val="decimal"/>
      <w:pStyle w:val="46"/>
      <w:suff w:val="nothing"/>
      <w:lvlText w:val="%1、"/>
      <w:lvlJc w:val="left"/>
    </w:lvl>
  </w:abstractNum>
  <w:abstractNum w:abstractNumId="1">
    <w:nsid w:val="0000000C"/>
    <w:multiLevelType w:val="singleLevel"/>
    <w:tmpl w:val="0000000C"/>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2">
    <w:nsid w:val="1ECBA01E"/>
    <w:multiLevelType w:val="multilevel"/>
    <w:tmpl w:val="1ECBA01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Restart w:val="1"/>
      <w:lvlText w:val="表%1-%5 "/>
      <w:lvlJc w:val="left"/>
      <w:pPr>
        <w:ind w:left="1008" w:hanging="1008"/>
      </w:pPr>
      <w:rPr>
        <w:rFonts w:hint="default" w:ascii="宋体" w:hAnsi="宋体" w:eastAsia="宋体" w:cs="宋体"/>
      </w:rPr>
    </w:lvl>
    <w:lvl w:ilvl="5" w:tentative="0">
      <w:start w:val="1"/>
      <w:numFmt w:val="decimal"/>
      <w:pStyle w:val="7"/>
      <w:lvlText w:val="图%1-%6 "/>
      <w:lvlJc w:val="left"/>
      <w:pPr>
        <w:ind w:left="1151" w:hanging="1151"/>
      </w:pPr>
      <w:rPr>
        <w:rFonts w:hint="default" w:ascii="宋体" w:hAnsi="宋体" w:eastAsia="宋体" w:cs="宋体"/>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6013A8"/>
    <w:rsid w:val="00235E53"/>
    <w:rsid w:val="00283568"/>
    <w:rsid w:val="002F6FD1"/>
    <w:rsid w:val="004B23E3"/>
    <w:rsid w:val="005D2854"/>
    <w:rsid w:val="005D2EA4"/>
    <w:rsid w:val="006013A8"/>
    <w:rsid w:val="006D6F3B"/>
    <w:rsid w:val="0079429C"/>
    <w:rsid w:val="00796200"/>
    <w:rsid w:val="007B4753"/>
    <w:rsid w:val="007F0C19"/>
    <w:rsid w:val="00862629"/>
    <w:rsid w:val="009A0971"/>
    <w:rsid w:val="00D83658"/>
    <w:rsid w:val="00DE40FF"/>
    <w:rsid w:val="00E530A6"/>
    <w:rsid w:val="00F35EC2"/>
    <w:rsid w:val="027D71DE"/>
    <w:rsid w:val="04B67105"/>
    <w:rsid w:val="05C50C80"/>
    <w:rsid w:val="06460BF7"/>
    <w:rsid w:val="066E1317"/>
    <w:rsid w:val="06FC4B75"/>
    <w:rsid w:val="074D53D1"/>
    <w:rsid w:val="07CD59B5"/>
    <w:rsid w:val="07DE071F"/>
    <w:rsid w:val="08386A4E"/>
    <w:rsid w:val="08FA6E92"/>
    <w:rsid w:val="0AA44D6C"/>
    <w:rsid w:val="0CC06645"/>
    <w:rsid w:val="0CC56D22"/>
    <w:rsid w:val="0E1E7AC7"/>
    <w:rsid w:val="10240C99"/>
    <w:rsid w:val="10887908"/>
    <w:rsid w:val="10C83D1A"/>
    <w:rsid w:val="10EF1F16"/>
    <w:rsid w:val="119500A0"/>
    <w:rsid w:val="12575356"/>
    <w:rsid w:val="13C44C6D"/>
    <w:rsid w:val="146401FE"/>
    <w:rsid w:val="146D2C0E"/>
    <w:rsid w:val="1505092F"/>
    <w:rsid w:val="152B6F63"/>
    <w:rsid w:val="15567B46"/>
    <w:rsid w:val="19112B5C"/>
    <w:rsid w:val="19E576EB"/>
    <w:rsid w:val="1A1D50D7"/>
    <w:rsid w:val="1B027E29"/>
    <w:rsid w:val="1BA3160C"/>
    <w:rsid w:val="1C627277"/>
    <w:rsid w:val="1CAB5593"/>
    <w:rsid w:val="1CF62670"/>
    <w:rsid w:val="1E29229C"/>
    <w:rsid w:val="1FD40D1A"/>
    <w:rsid w:val="20191E9C"/>
    <w:rsid w:val="210448FA"/>
    <w:rsid w:val="21470C8B"/>
    <w:rsid w:val="223B07F0"/>
    <w:rsid w:val="23C860B3"/>
    <w:rsid w:val="23CE7442"/>
    <w:rsid w:val="250F386E"/>
    <w:rsid w:val="25A5657F"/>
    <w:rsid w:val="26B02E2F"/>
    <w:rsid w:val="27642C26"/>
    <w:rsid w:val="29CA2459"/>
    <w:rsid w:val="2A27165A"/>
    <w:rsid w:val="2A781EB5"/>
    <w:rsid w:val="2A806365"/>
    <w:rsid w:val="2BB4516F"/>
    <w:rsid w:val="2C5F1EDC"/>
    <w:rsid w:val="2C882884"/>
    <w:rsid w:val="2D23266F"/>
    <w:rsid w:val="2DC84F02"/>
    <w:rsid w:val="2DCF6290"/>
    <w:rsid w:val="2F594063"/>
    <w:rsid w:val="2F803CE6"/>
    <w:rsid w:val="33396201"/>
    <w:rsid w:val="336A2CE3"/>
    <w:rsid w:val="349D0E96"/>
    <w:rsid w:val="365B6913"/>
    <w:rsid w:val="37433C2C"/>
    <w:rsid w:val="38A722E3"/>
    <w:rsid w:val="38E726E0"/>
    <w:rsid w:val="39352CB6"/>
    <w:rsid w:val="399B34CA"/>
    <w:rsid w:val="3A622E28"/>
    <w:rsid w:val="3A944AE9"/>
    <w:rsid w:val="3B5F50F7"/>
    <w:rsid w:val="3C5A141B"/>
    <w:rsid w:val="3DF338D5"/>
    <w:rsid w:val="3DF868E5"/>
    <w:rsid w:val="3E703177"/>
    <w:rsid w:val="3F161F71"/>
    <w:rsid w:val="3FDB0AC5"/>
    <w:rsid w:val="4230334A"/>
    <w:rsid w:val="43EF2D90"/>
    <w:rsid w:val="440B5E1C"/>
    <w:rsid w:val="459B6D2C"/>
    <w:rsid w:val="477C0DDF"/>
    <w:rsid w:val="478D4D9A"/>
    <w:rsid w:val="48BA635A"/>
    <w:rsid w:val="49415E3C"/>
    <w:rsid w:val="496B110B"/>
    <w:rsid w:val="4A6F0787"/>
    <w:rsid w:val="4AAE5753"/>
    <w:rsid w:val="4D8409ED"/>
    <w:rsid w:val="4DB74893"/>
    <w:rsid w:val="4EDC2B26"/>
    <w:rsid w:val="4F502C0F"/>
    <w:rsid w:val="50FD4E06"/>
    <w:rsid w:val="526A6404"/>
    <w:rsid w:val="52CA50F4"/>
    <w:rsid w:val="53545E36"/>
    <w:rsid w:val="559612BE"/>
    <w:rsid w:val="566030AC"/>
    <w:rsid w:val="56CB143B"/>
    <w:rsid w:val="5838665C"/>
    <w:rsid w:val="5955713C"/>
    <w:rsid w:val="59C97EB4"/>
    <w:rsid w:val="5A4C2893"/>
    <w:rsid w:val="5B8B2F47"/>
    <w:rsid w:val="6175447D"/>
    <w:rsid w:val="63546B83"/>
    <w:rsid w:val="63BE035D"/>
    <w:rsid w:val="656B0071"/>
    <w:rsid w:val="67334BBF"/>
    <w:rsid w:val="67566AFF"/>
    <w:rsid w:val="67C57214"/>
    <w:rsid w:val="67C73559"/>
    <w:rsid w:val="69855891"/>
    <w:rsid w:val="6BB221D6"/>
    <w:rsid w:val="6CFD0BBD"/>
    <w:rsid w:val="6D7B106D"/>
    <w:rsid w:val="6D8A5754"/>
    <w:rsid w:val="6ED547AD"/>
    <w:rsid w:val="6F836B40"/>
    <w:rsid w:val="71B132B0"/>
    <w:rsid w:val="73927111"/>
    <w:rsid w:val="739E1612"/>
    <w:rsid w:val="760360A4"/>
    <w:rsid w:val="765C68EA"/>
    <w:rsid w:val="77CD2930"/>
    <w:rsid w:val="788C05D2"/>
    <w:rsid w:val="7A6A66F1"/>
    <w:rsid w:val="7A9F7EE5"/>
    <w:rsid w:val="7B711D02"/>
    <w:rsid w:val="7DE1316F"/>
    <w:rsid w:val="7E81400A"/>
    <w:rsid w:val="7EA70C34"/>
    <w:rsid w:val="7EB4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autoRedefine/>
    <w:qFormat/>
    <w:uiPriority w:val="0"/>
    <w:pPr>
      <w:keepNext/>
      <w:keepLines/>
      <w:spacing w:line="360" w:lineRule="auto"/>
      <w:jc w:val="left"/>
      <w:outlineLvl w:val="0"/>
    </w:pPr>
    <w:rPr>
      <w:rFonts w:ascii="Times New Roman" w:hAnsi="Times New Roman" w:eastAsia="宋体" w:cs="Times New Roman"/>
      <w:b/>
      <w:bCs/>
      <w:kern w:val="44"/>
      <w:sz w:val="30"/>
      <w:szCs w:val="44"/>
    </w:rPr>
  </w:style>
  <w:style w:type="paragraph" w:styleId="4">
    <w:name w:val="heading 2"/>
    <w:basedOn w:val="1"/>
    <w:next w:val="1"/>
    <w:link w:val="32"/>
    <w:autoRedefine/>
    <w:unhideWhenUsed/>
    <w:qFormat/>
    <w:uiPriority w:val="0"/>
    <w:pPr>
      <w:keepLines/>
      <w:spacing w:line="413" w:lineRule="auto"/>
      <w:jc w:val="left"/>
      <w:outlineLvl w:val="1"/>
    </w:pPr>
    <w:rPr>
      <w:rFonts w:ascii="Times New Roman" w:hAnsi="Times New Roman" w:eastAsia="宋体" w:cs="Times New Roman"/>
      <w:b/>
      <w:sz w:val="28"/>
      <w:szCs w:val="22"/>
    </w:rPr>
  </w:style>
  <w:style w:type="paragraph" w:styleId="2">
    <w:name w:val="heading 3"/>
    <w:basedOn w:val="1"/>
    <w:next w:val="1"/>
    <w:link w:val="35"/>
    <w:autoRedefine/>
    <w:unhideWhenUsed/>
    <w:qFormat/>
    <w:uiPriority w:val="0"/>
    <w:pPr>
      <w:keepNext/>
      <w:keepLines/>
      <w:jc w:val="left"/>
      <w:outlineLvl w:val="2"/>
    </w:pPr>
    <w:rPr>
      <w:rFonts w:ascii="Times New Roman" w:hAnsi="Times New Roman" w:eastAsia="宋体" w:cs="Times New Roman"/>
      <w:b/>
      <w:sz w:val="24"/>
      <w:szCs w:val="22"/>
    </w:rPr>
  </w:style>
  <w:style w:type="paragraph" w:styleId="5">
    <w:name w:val="heading 4"/>
    <w:basedOn w:val="1"/>
    <w:next w:val="1"/>
    <w:autoRedefine/>
    <w:unhideWhenUsed/>
    <w:qFormat/>
    <w:uiPriority w:val="0"/>
    <w:pPr>
      <w:keepNext/>
      <w:keepLines/>
      <w:spacing w:before="140" w:after="140"/>
      <w:ind w:left="864" w:hanging="864"/>
      <w:jc w:val="left"/>
      <w:outlineLvl w:val="3"/>
    </w:pPr>
    <w:rPr>
      <w:rFonts w:ascii="Times New Roman" w:hAnsi="Times New Roman" w:eastAsia="宋体"/>
      <w:b/>
      <w:sz w:val="24"/>
    </w:rPr>
  </w:style>
  <w:style w:type="paragraph" w:styleId="6">
    <w:name w:val="heading 5"/>
    <w:basedOn w:val="1"/>
    <w:next w:val="1"/>
    <w:autoRedefine/>
    <w:unhideWhenUsed/>
    <w:qFormat/>
    <w:uiPriority w:val="0"/>
    <w:pPr>
      <w:keepNext/>
      <w:keepLines/>
      <w:spacing w:line="360" w:lineRule="auto"/>
      <w:ind w:firstLine="1044" w:firstLineChars="200"/>
      <w:jc w:val="left"/>
      <w:outlineLvl w:val="4"/>
    </w:pPr>
    <w:rPr>
      <w:rFonts w:ascii="Times New Roman" w:hAnsi="Times New Roman" w:eastAsia="宋体" w:cs="Times New Roman"/>
      <w:b/>
      <w:sz w:val="24"/>
    </w:rPr>
  </w:style>
  <w:style w:type="paragraph" w:styleId="7">
    <w:name w:val="heading 6"/>
    <w:basedOn w:val="1"/>
    <w:next w:val="1"/>
    <w:autoRedefine/>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Body Text"/>
    <w:basedOn w:val="1"/>
    <w:next w:val="13"/>
    <w:link w:val="33"/>
    <w:autoRedefine/>
    <w:qFormat/>
    <w:uiPriority w:val="0"/>
    <w:pPr>
      <w:widowControl/>
      <w:snapToGrid w:val="0"/>
      <w:spacing w:line="260" w:lineRule="auto"/>
      <w:ind w:right="113"/>
    </w:pPr>
    <w:rPr>
      <w:rFonts w:ascii="Times New Roman" w:hAnsi="Times New Roman" w:eastAsia="宋体"/>
      <w:kern w:val="0"/>
      <w:sz w:val="18"/>
      <w:szCs w:val="20"/>
    </w:rPr>
  </w:style>
  <w:style w:type="paragraph" w:styleId="13">
    <w:name w:val="List Bullet 5"/>
    <w:basedOn w:val="1"/>
    <w:autoRedefine/>
    <w:qFormat/>
    <w:uiPriority w:val="0"/>
    <w:pPr>
      <w:numPr>
        <w:ilvl w:val="0"/>
        <w:numId w:val="2"/>
      </w:numPr>
    </w:pPr>
  </w:style>
  <w:style w:type="paragraph" w:styleId="14">
    <w:name w:val="Body Text Indent"/>
    <w:basedOn w:val="1"/>
    <w:autoRedefine/>
    <w:qFormat/>
    <w:uiPriority w:val="0"/>
    <w:pPr>
      <w:spacing w:after="120"/>
      <w:ind w:left="420" w:leftChars="200"/>
    </w:pPr>
  </w:style>
  <w:style w:type="paragraph" w:styleId="15">
    <w:name w:val="Body Text Indent 2"/>
    <w:basedOn w:val="1"/>
    <w:next w:val="1"/>
    <w:link w:val="37"/>
    <w:autoRedefine/>
    <w:qFormat/>
    <w:uiPriority w:val="0"/>
    <w:pPr>
      <w:tabs>
        <w:tab w:val="left" w:pos="0"/>
      </w:tabs>
      <w:spacing w:line="360" w:lineRule="auto"/>
      <w:jc w:val="center"/>
    </w:pPr>
    <w:rPr>
      <w:rFonts w:ascii="Times New Roman" w:hAnsi="Times New Roman" w:eastAsia="宋体" w:cs="Times New Roman"/>
      <w:b/>
      <w:szCs w:val="22"/>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link w:val="39"/>
    <w:autoRedefine/>
    <w:qFormat/>
    <w:uiPriority w:val="0"/>
    <w:pPr>
      <w:pBdr>
        <w:bottom w:val="single" w:color="auto" w:sz="6" w:space="1"/>
      </w:pBdr>
      <w:tabs>
        <w:tab w:val="center" w:pos="4153"/>
        <w:tab w:val="right" w:pos="8306"/>
      </w:tabs>
      <w:jc w:val="center"/>
    </w:pPr>
    <w:rPr>
      <w:rFonts w:ascii="Times New Roman" w:hAnsi="Times New Roman" w:eastAsia="宋体"/>
      <w:sz w:val="18"/>
      <w:szCs w:val="18"/>
    </w:rPr>
  </w:style>
  <w:style w:type="paragraph" w:styleId="18">
    <w:name w:val="table of figures"/>
    <w:basedOn w:val="1"/>
    <w:next w:val="1"/>
    <w:autoRedefine/>
    <w:qFormat/>
    <w:uiPriority w:val="0"/>
    <w:pPr>
      <w:ind w:left="200" w:leftChars="200" w:hanging="200" w:hangingChars="200"/>
    </w:pPr>
  </w:style>
  <w:style w:type="paragraph" w:styleId="19">
    <w:name w:val="Title"/>
    <w:basedOn w:val="1"/>
    <w:autoRedefine/>
    <w:qFormat/>
    <w:uiPriority w:val="0"/>
    <w:pPr>
      <w:spacing w:before="240" w:after="60"/>
      <w:jc w:val="center"/>
      <w:outlineLvl w:val="0"/>
    </w:pPr>
    <w:rPr>
      <w:rFonts w:ascii="Arial" w:hAnsi="Arial"/>
      <w:b/>
      <w:sz w:val="32"/>
    </w:rPr>
  </w:style>
  <w:style w:type="paragraph" w:styleId="20">
    <w:name w:val="Body Text First Indent 2"/>
    <w:basedOn w:val="14"/>
    <w:autoRedefine/>
    <w:qFormat/>
    <w:uiPriority w:val="0"/>
    <w:pPr>
      <w:spacing w:line="360" w:lineRule="auto"/>
      <w:ind w:left="0" w:leftChars="0"/>
    </w:pPr>
    <w:rPr>
      <w:rFonts w:ascii="Times New Roman" w:hAnsi="Times New Roman" w:eastAsia="宋体"/>
    </w:rPr>
  </w:style>
  <w:style w:type="paragraph" w:customStyle="1" w:styleId="23">
    <w:name w:val="0正文唐"/>
    <w:basedOn w:val="1"/>
    <w:link w:val="40"/>
    <w:autoRedefine/>
    <w:qFormat/>
    <w:uiPriority w:val="0"/>
    <w:pPr>
      <w:spacing w:line="360" w:lineRule="auto"/>
      <w:ind w:firstLine="720" w:firstLineChars="200"/>
      <w:jc w:val="left"/>
    </w:pPr>
    <w:rPr>
      <w:rFonts w:ascii="Times New Roman" w:hAnsi="Times New Roman" w:eastAsia="宋体" w:cs="Times New Roman"/>
      <w:sz w:val="28"/>
    </w:rPr>
  </w:style>
  <w:style w:type="paragraph" w:customStyle="1" w:styleId="24">
    <w:name w:val="Default"/>
    <w:basedOn w:val="1"/>
    <w:next w:val="20"/>
    <w:autoRedefine/>
    <w:qFormat/>
    <w:uiPriority w:val="0"/>
    <w:pPr>
      <w:autoSpaceDE w:val="0"/>
      <w:autoSpaceDN w:val="0"/>
      <w:adjustRightInd w:val="0"/>
      <w:spacing w:line="360" w:lineRule="auto"/>
    </w:pPr>
    <w:rPr>
      <w:rFonts w:hint="eastAsia" w:ascii="宋体" w:hAnsi="宋体" w:eastAsia="宋体"/>
      <w:color w:val="000000"/>
    </w:rPr>
  </w:style>
  <w:style w:type="character" w:customStyle="1" w:styleId="25">
    <w:name w:val="标题 1 Char"/>
    <w:link w:val="3"/>
    <w:autoRedefine/>
    <w:qFormat/>
    <w:uiPriority w:val="99"/>
    <w:rPr>
      <w:rFonts w:ascii="Times New Roman" w:hAnsi="Times New Roman" w:eastAsia="宋体" w:cs="Times New Roman"/>
      <w:b/>
      <w:kern w:val="44"/>
      <w:sz w:val="30"/>
    </w:rPr>
  </w:style>
  <w:style w:type="paragraph" w:customStyle="1" w:styleId="26">
    <w:name w:val="正文5号"/>
    <w:basedOn w:val="1"/>
    <w:autoRedefine/>
    <w:qFormat/>
    <w:uiPriority w:val="0"/>
    <w:pPr>
      <w:spacing w:line="360" w:lineRule="auto"/>
      <w:ind w:firstLine="422" w:firstLineChars="200"/>
    </w:pPr>
    <w:rPr>
      <w:rFonts w:ascii="Times New Roman" w:hAnsi="Times New Roman"/>
      <w:bCs/>
      <w:kern w:val="24"/>
      <w:szCs w:val="21"/>
    </w:rPr>
  </w:style>
  <w:style w:type="paragraph" w:customStyle="1" w:styleId="27">
    <w:name w:val="正文5号-缩进2"/>
    <w:basedOn w:val="1"/>
    <w:autoRedefine/>
    <w:qFormat/>
    <w:uiPriority w:val="0"/>
    <w:pPr>
      <w:autoSpaceDE w:val="0"/>
      <w:autoSpaceDN w:val="0"/>
      <w:adjustRightInd w:val="0"/>
      <w:snapToGrid w:val="0"/>
      <w:spacing w:line="360" w:lineRule="auto"/>
      <w:ind w:firstLine="420" w:firstLineChars="200"/>
    </w:pPr>
    <w:rPr>
      <w:rFonts w:ascii="Times New Roman" w:hAnsi="Times New Roman" w:cs="宋体"/>
      <w:kern w:val="0"/>
      <w:szCs w:val="21"/>
    </w:rPr>
  </w:style>
  <w:style w:type="paragraph" w:customStyle="1" w:styleId="28">
    <w:name w:val="5号-缩进2"/>
    <w:basedOn w:val="1"/>
    <w:autoRedefine/>
    <w:qFormat/>
    <w:uiPriority w:val="0"/>
    <w:pPr>
      <w:autoSpaceDE w:val="0"/>
      <w:autoSpaceDN w:val="0"/>
      <w:adjustRightInd w:val="0"/>
      <w:snapToGrid w:val="0"/>
      <w:spacing w:line="360" w:lineRule="auto"/>
      <w:ind w:firstLine="420" w:firstLineChars="200"/>
    </w:pPr>
    <w:rPr>
      <w:rFonts w:ascii="Times New Roman" w:hAnsi="Times New Roman" w:eastAsia="宋体" w:cs="宋体"/>
      <w:kern w:val="0"/>
      <w:szCs w:val="21"/>
    </w:rPr>
  </w:style>
  <w:style w:type="paragraph" w:customStyle="1" w:styleId="29">
    <w:name w:val="5号居中"/>
    <w:basedOn w:val="1"/>
    <w:autoRedefine/>
    <w:qFormat/>
    <w:uiPriority w:val="0"/>
    <w:pPr>
      <w:adjustRightInd w:val="0"/>
      <w:snapToGrid w:val="0"/>
      <w:jc w:val="center"/>
    </w:pPr>
    <w:rPr>
      <w:rFonts w:ascii="Times New Roman" w:hAnsi="Times New Roman" w:cs="宋体"/>
      <w:szCs w:val="21"/>
    </w:rPr>
  </w:style>
  <w:style w:type="paragraph" w:customStyle="1" w:styleId="30">
    <w:name w:val="表头"/>
    <w:basedOn w:val="11"/>
    <w:next w:val="1"/>
    <w:autoRedefine/>
    <w:qFormat/>
    <w:uiPriority w:val="0"/>
    <w:pPr>
      <w:autoSpaceDE w:val="0"/>
      <w:autoSpaceDN w:val="0"/>
      <w:adjustRightInd w:val="0"/>
      <w:spacing w:before="50" w:beforeLines="50"/>
      <w:ind w:firstLine="0" w:firstLineChars="0"/>
      <w:jc w:val="center"/>
      <w:textAlignment w:val="baseline"/>
    </w:pPr>
    <w:rPr>
      <w:rFonts w:ascii="Times New Roman" w:hAnsi="Times New Roman" w:eastAsia="宋体" w:cs="Times New Roman"/>
      <w:b/>
      <w:color w:val="000000"/>
      <w:szCs w:val="21"/>
    </w:rPr>
  </w:style>
  <w:style w:type="paragraph" w:customStyle="1" w:styleId="31">
    <w:name w:val="表头5号"/>
    <w:basedOn w:val="1"/>
    <w:autoRedefine/>
    <w:qFormat/>
    <w:uiPriority w:val="0"/>
    <w:pPr>
      <w:spacing w:before="50" w:beforeLines="50"/>
      <w:jc w:val="center"/>
    </w:pPr>
    <w:rPr>
      <w:rFonts w:ascii="Times New Roman" w:hAnsi="Times New Roman" w:eastAsia="宋体" w:cs="Times New Roman"/>
      <w:b/>
      <w:bCs/>
      <w:szCs w:val="21"/>
      <w:lang w:bidi="en-US"/>
    </w:rPr>
  </w:style>
  <w:style w:type="character" w:customStyle="1" w:styleId="32">
    <w:name w:val="标题 2 Char"/>
    <w:link w:val="4"/>
    <w:autoRedefine/>
    <w:qFormat/>
    <w:uiPriority w:val="0"/>
    <w:rPr>
      <w:rFonts w:ascii="Times New Roman" w:hAnsi="Times New Roman" w:eastAsia="宋体" w:cs="Times New Roman"/>
      <w:b/>
      <w:sz w:val="28"/>
      <w:szCs w:val="22"/>
    </w:rPr>
  </w:style>
  <w:style w:type="character" w:customStyle="1" w:styleId="33">
    <w:name w:val="正文文本 Char"/>
    <w:link w:val="12"/>
    <w:autoRedefine/>
    <w:qFormat/>
    <w:locked/>
    <w:uiPriority w:val="0"/>
    <w:rPr>
      <w:rFonts w:ascii="Times New Roman" w:hAnsi="Times New Roman" w:eastAsia="宋体"/>
      <w:sz w:val="18"/>
    </w:rPr>
  </w:style>
  <w:style w:type="paragraph" w:customStyle="1" w:styleId="34">
    <w:name w:val="0正文"/>
    <w:basedOn w:val="1"/>
    <w:autoRedefine/>
    <w:qFormat/>
    <w:uiPriority w:val="0"/>
    <w:pPr>
      <w:spacing w:line="360" w:lineRule="auto"/>
      <w:ind w:firstLine="1040" w:firstLineChars="200"/>
    </w:pPr>
    <w:rPr>
      <w:rFonts w:ascii="Times New Roman" w:hAnsi="Times New Roman" w:cs="Times New Roman"/>
      <w:sz w:val="24"/>
    </w:rPr>
  </w:style>
  <w:style w:type="character" w:customStyle="1" w:styleId="35">
    <w:name w:val="标题 3 Char"/>
    <w:link w:val="2"/>
    <w:autoRedefine/>
    <w:qFormat/>
    <w:uiPriority w:val="0"/>
    <w:rPr>
      <w:rFonts w:ascii="Times New Roman" w:hAnsi="Times New Roman" w:eastAsia="宋体" w:cs="Times New Roman"/>
      <w:b/>
      <w:sz w:val="28"/>
      <w:szCs w:val="30"/>
    </w:rPr>
  </w:style>
  <w:style w:type="paragraph" w:customStyle="1" w:styleId="36">
    <w:name w:val="表 标题"/>
    <w:basedOn w:val="18"/>
    <w:autoRedefine/>
    <w:qFormat/>
    <w:uiPriority w:val="0"/>
    <w:pPr>
      <w:spacing w:before="50" w:beforeLines="50"/>
      <w:ind w:left="0" w:leftChars="0" w:firstLine="0" w:firstLineChars="0"/>
      <w:jc w:val="center"/>
    </w:pPr>
    <w:rPr>
      <w:rFonts w:ascii="Times New Roman" w:hAnsi="Times New Roman" w:eastAsia="宋体" w:cs="Times New Roman"/>
      <w:b/>
      <w:szCs w:val="20"/>
    </w:rPr>
  </w:style>
  <w:style w:type="character" w:customStyle="1" w:styleId="37">
    <w:name w:val="正文文本缩进 2 Char"/>
    <w:link w:val="15"/>
    <w:autoRedefine/>
    <w:qFormat/>
    <w:uiPriority w:val="0"/>
    <w:rPr>
      <w:rFonts w:ascii="Times New Roman" w:hAnsi="Times New Roman" w:eastAsia="宋体" w:cs="Times New Roman"/>
      <w:b/>
      <w:sz w:val="21"/>
      <w:szCs w:val="22"/>
    </w:rPr>
  </w:style>
  <w:style w:type="paragraph" w:customStyle="1" w:styleId="38">
    <w:name w:val="正  文"/>
    <w:autoRedefine/>
    <w:qFormat/>
    <w:uiPriority w:val="0"/>
    <w:pPr>
      <w:widowControl w:val="0"/>
      <w:spacing w:line="360" w:lineRule="auto"/>
      <w:ind w:firstLine="200" w:firstLineChars="200"/>
    </w:pPr>
    <w:rPr>
      <w:rFonts w:ascii="Times New Roman" w:hAnsi="Times New Roman" w:eastAsia="宋体" w:cs="Times New Roman"/>
      <w:kern w:val="2"/>
      <w:sz w:val="24"/>
      <w:szCs w:val="28"/>
      <w:lang w:val="en-US" w:eastAsia="zh-CN" w:bidi="ar-SA"/>
    </w:rPr>
  </w:style>
  <w:style w:type="character" w:customStyle="1" w:styleId="39">
    <w:name w:val="页眉 Char"/>
    <w:link w:val="17"/>
    <w:autoRedefine/>
    <w:qFormat/>
    <w:uiPriority w:val="99"/>
    <w:rPr>
      <w:rFonts w:ascii="Times New Roman" w:hAnsi="Times New Roman" w:eastAsia="宋体"/>
      <w:kern w:val="2"/>
      <w:sz w:val="18"/>
      <w:szCs w:val="18"/>
    </w:rPr>
  </w:style>
  <w:style w:type="character" w:customStyle="1" w:styleId="40">
    <w:name w:val="0正文唐 Char"/>
    <w:link w:val="23"/>
    <w:autoRedefine/>
    <w:qFormat/>
    <w:uiPriority w:val="0"/>
    <w:rPr>
      <w:rFonts w:ascii="Times New Roman" w:hAnsi="Times New Roman" w:eastAsia="宋体" w:cs="Times New Roman"/>
      <w:sz w:val="28"/>
    </w:rPr>
  </w:style>
  <w:style w:type="paragraph" w:customStyle="1" w:styleId="41">
    <w:name w:val="正文-唐"/>
    <w:basedOn w:val="23"/>
    <w:autoRedefine/>
    <w:qFormat/>
    <w:uiPriority w:val="0"/>
    <w:pPr>
      <w:ind w:firstLine="600"/>
    </w:pPr>
    <w:rPr>
      <w:szCs w:val="22"/>
    </w:rPr>
  </w:style>
  <w:style w:type="paragraph" w:customStyle="1" w:styleId="42">
    <w:name w:val="自编-正文"/>
    <w:basedOn w:val="1"/>
    <w:autoRedefine/>
    <w:qFormat/>
    <w:uiPriority w:val="0"/>
    <w:pPr>
      <w:spacing w:line="360" w:lineRule="auto"/>
      <w:ind w:firstLine="480" w:firstLineChars="200"/>
      <w:jc w:val="left"/>
    </w:pPr>
    <w:rPr>
      <w:rFonts w:ascii="Times New Roman" w:hAnsi="Times New Roman" w:eastAsia="宋体" w:cs="宋体"/>
      <w:sz w:val="24"/>
    </w:rPr>
  </w:style>
  <w:style w:type="paragraph" w:customStyle="1" w:styleId="43">
    <w:name w:val="报告正文"/>
    <w:basedOn w:val="1"/>
    <w:link w:val="44"/>
    <w:autoRedefine/>
    <w:qFormat/>
    <w:uiPriority w:val="0"/>
    <w:pPr>
      <w:spacing w:line="360" w:lineRule="auto"/>
      <w:textAlignment w:val="baseline"/>
    </w:pPr>
    <w:rPr>
      <w:rFonts w:ascii="Times New Roman" w:hAnsi="Times New Roman" w:eastAsia="宋体"/>
      <w:kern w:val="24"/>
      <w:sz w:val="24"/>
    </w:rPr>
  </w:style>
  <w:style w:type="character" w:customStyle="1" w:styleId="44">
    <w:name w:val="报告正文 Char"/>
    <w:link w:val="43"/>
    <w:autoRedefine/>
    <w:qFormat/>
    <w:uiPriority w:val="0"/>
    <w:rPr>
      <w:rFonts w:ascii="Times New Roman" w:hAnsi="Times New Roman" w:eastAsia="宋体"/>
      <w:kern w:val="24"/>
      <w:sz w:val="24"/>
      <w:szCs w:val="24"/>
    </w:rPr>
  </w:style>
  <w:style w:type="paragraph" w:customStyle="1" w:styleId="45">
    <w:name w:val="表内文字"/>
    <w:basedOn w:val="1"/>
    <w:autoRedefine/>
    <w:qFormat/>
    <w:uiPriority w:val="0"/>
    <w:pPr>
      <w:jc w:val="center"/>
    </w:pPr>
    <w:rPr>
      <w:rFonts w:ascii="Times New Roman" w:hAnsi="Times New Roman" w:eastAsia="宋体" w:cs="Times New Roman"/>
      <w:bCs/>
      <w:szCs w:val="21"/>
    </w:rPr>
  </w:style>
  <w:style w:type="paragraph" w:customStyle="1" w:styleId="46">
    <w:name w:val="0验收正文"/>
    <w:basedOn w:val="23"/>
    <w:next w:val="23"/>
    <w:autoRedefine/>
    <w:qFormat/>
    <w:uiPriority w:val="0"/>
    <w:pPr>
      <w:numPr>
        <w:ilvl w:val="0"/>
        <w:numId w:val="3"/>
      </w:numPr>
      <w:jc w:val="both"/>
    </w:pPr>
    <w:rPr>
      <w:bCs/>
    </w:rPr>
  </w:style>
  <w:style w:type="character" w:customStyle="1" w:styleId="47">
    <w:name w:val="content1"/>
    <w:basedOn w:val="22"/>
    <w:autoRedefine/>
    <w:qFormat/>
    <w:uiPriority w:val="0"/>
    <w:rPr>
      <w:color w:val="000000"/>
      <w:sz w:val="20"/>
      <w:szCs w:val="20"/>
    </w:rPr>
  </w:style>
  <w:style w:type="paragraph" w:customStyle="1" w:styleId="48">
    <w:name w:val="列出段落1"/>
    <w:basedOn w:val="1"/>
    <w:autoRedefine/>
    <w:unhideWhenUsed/>
    <w:qFormat/>
    <w:uiPriority w:val="99"/>
    <w:pPr>
      <w:ind w:firstLine="420" w:firstLineChars="200"/>
    </w:pPr>
  </w:style>
  <w:style w:type="paragraph" w:customStyle="1" w:styleId="49">
    <w:name w:val="正文文本-彩路"/>
    <w:link w:val="50"/>
    <w:qFormat/>
    <w:uiPriority w:val="0"/>
    <w:pPr>
      <w:spacing w:before="0" w:after="0" w:line="360" w:lineRule="auto"/>
      <w:ind w:right="0" w:firstLine="200" w:firstLineChars="200"/>
    </w:pPr>
    <w:rPr>
      <w:rFonts w:ascii="Times New Roman" w:hAnsi="Times New Roman" w:eastAsia="宋体" w:cs="Times New Roman"/>
      <w:sz w:val="21"/>
    </w:rPr>
  </w:style>
  <w:style w:type="character" w:customStyle="1" w:styleId="50">
    <w:name w:val="正文文本-彩路 Char"/>
    <w:link w:val="49"/>
    <w:qFormat/>
    <w:uiPriority w:val="0"/>
    <w:rPr>
      <w:rFonts w:ascii="Times New Roman" w:hAnsi="Times New Roman" w:eastAsia="宋体"/>
      <w:sz w:val="21"/>
    </w:rPr>
  </w:style>
  <w:style w:type="paragraph" w:customStyle="1" w:styleId="51">
    <w:name w:val="正文-湘她他"/>
    <w:link w:val="52"/>
    <w:qFormat/>
    <w:uiPriority w:val="0"/>
    <w:pPr>
      <w:wordWrap/>
      <w:spacing w:before="0" w:after="0" w:line="360" w:lineRule="auto"/>
      <w:ind w:right="0" w:firstLine="200" w:firstLineChars="200"/>
    </w:pPr>
    <w:rPr>
      <w:rFonts w:ascii="Times New Roman" w:hAnsi="Times New Roman" w:eastAsia="宋体" w:cs="Times New Roman"/>
      <w:sz w:val="21"/>
    </w:rPr>
  </w:style>
  <w:style w:type="character" w:customStyle="1" w:styleId="52">
    <w:name w:val="正文-湘她他 Char"/>
    <w:link w:val="51"/>
    <w:autoRedefine/>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1127</Words>
  <Characters>1248</Characters>
  <Lines>10</Lines>
  <Paragraphs>2</Paragraphs>
  <TotalTime>11</TotalTime>
  <ScaleCrop>false</ScaleCrop>
  <LinksUpToDate>false</LinksUpToDate>
  <CharactersWithSpaces>1364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2024-04-01T02:17:00Z</dcterms:created>
  <dc:creator>fm</dc:creator>
  <cp:lastModifiedBy>haiy(•̀⌄•́)</cp:lastModifiedBy>
  <cp:lastPrinted>2024-06-25T07:29:09Z</cp:lastPrinted>
  <dcterms:modified xsi:type="dcterms:W3CDTF">2024-06-25T07:29:14Z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E42DD6651E31480CA6D99ABD5E948463_13</vt:lpwstr>
  </property>
</Properties>
</file>