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848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14:paraId="5FEB1F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p w14:paraId="2A1A3D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14:textFill>
            <w14:solidFill>
              <w14:schemeClr w14:val="tx1"/>
            </w14:solidFill>
          </w14:textFill>
        </w:rPr>
      </w:pPr>
    </w:p>
    <w:p w14:paraId="4D8B38B7">
      <w:pPr>
        <w:spacing w:line="600" w:lineRule="exact"/>
        <w:jc w:val="right"/>
        <w:rPr>
          <w:rFonts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衡清环审字〔2024〕</w:t>
      </w:r>
      <w:r>
        <w:rPr>
          <w:rFonts w:hint="eastAsia" w:ascii="仿宋" w:hAnsi="仿宋" w:eastAsia="仿宋" w:cs="仿宋"/>
          <w:color w:val="000000" w:themeColor="text1"/>
          <w:sz w:val="32"/>
          <w:szCs w:val="32"/>
          <w:lang w:val="en-US" w:eastAsia="zh-CN"/>
          <w14:textFill>
            <w14:solidFill>
              <w14:schemeClr w14:val="tx1"/>
            </w14:solidFill>
          </w14:textFill>
        </w:rPr>
        <w:t>51</w:t>
      </w:r>
      <w:r>
        <w:rPr>
          <w:rFonts w:hint="eastAsia" w:ascii="仿宋" w:hAnsi="仿宋" w:eastAsia="仿宋" w:cs="仿宋"/>
          <w:color w:val="000000" w:themeColor="text1"/>
          <w:sz w:val="32"/>
          <w:szCs w:val="32"/>
          <w14:textFill>
            <w14:solidFill>
              <w14:schemeClr w14:val="tx1"/>
            </w14:solidFill>
          </w14:textFill>
        </w:rPr>
        <w:t>号</w:t>
      </w:r>
    </w:p>
    <w:p w14:paraId="7C04B070">
      <w:pPr>
        <w:spacing w:line="600" w:lineRule="exact"/>
        <w:jc w:val="center"/>
        <w:rPr>
          <w:rFonts w:ascii="仿宋" w:hAnsi="仿宋" w:eastAsia="仿宋" w:cs="仿宋"/>
          <w:color w:val="000000" w:themeColor="text1"/>
          <w:sz w:val="32"/>
          <w:szCs w:val="32"/>
          <w14:textFill>
            <w14:solidFill>
              <w14:schemeClr w14:val="tx1"/>
            </w14:solidFill>
          </w14:textFill>
        </w:rPr>
      </w:pPr>
    </w:p>
    <w:p w14:paraId="216BAD0A">
      <w:pPr>
        <w:spacing w:line="660" w:lineRule="exact"/>
        <w:jc w:val="center"/>
        <w:rPr>
          <w:rFonts w:ascii="华文中宋" w:hAnsi="华文中宋" w:eastAsia="华文中宋" w:cs="华文中宋"/>
          <w:b/>
          <w:bCs/>
          <w:color w:val="000000" w:themeColor="text1"/>
          <w:sz w:val="42"/>
          <w:szCs w:val="42"/>
          <w14:textFill>
            <w14:solidFill>
              <w14:schemeClr w14:val="tx1"/>
            </w14:solidFill>
          </w14:textFill>
        </w:rPr>
      </w:pPr>
      <w:r>
        <w:rPr>
          <w:rFonts w:hint="eastAsia" w:ascii="华文中宋" w:hAnsi="华文中宋" w:eastAsia="华文中宋" w:cs="华文中宋"/>
          <w:b/>
          <w:bCs/>
          <w:color w:val="000000" w:themeColor="text1"/>
          <w:sz w:val="42"/>
          <w:szCs w:val="42"/>
          <w14:textFill>
            <w14:solidFill>
              <w14:schemeClr w14:val="tx1"/>
            </w14:solidFill>
          </w14:textFill>
        </w:rPr>
        <w:t>衡阳市生态环境局</w:t>
      </w:r>
    </w:p>
    <w:p w14:paraId="643FACB4">
      <w:pPr>
        <w:spacing w:line="660" w:lineRule="exact"/>
        <w:jc w:val="center"/>
        <w:rPr>
          <w:rFonts w:ascii="华文中宋" w:hAnsi="华文中宋" w:eastAsia="华文中宋" w:cs="华文中宋"/>
          <w:b/>
          <w:bCs/>
          <w:color w:val="000000" w:themeColor="text1"/>
          <w:sz w:val="42"/>
          <w:szCs w:val="42"/>
          <w14:textFill>
            <w14:solidFill>
              <w14:schemeClr w14:val="tx1"/>
            </w14:solidFill>
          </w14:textFill>
        </w:rPr>
      </w:pPr>
      <w:r>
        <w:rPr>
          <w:rFonts w:hint="eastAsia" w:ascii="华文中宋" w:hAnsi="华文中宋" w:eastAsia="华文中宋" w:cs="华文中宋"/>
          <w:b/>
          <w:bCs/>
          <w:color w:val="000000" w:themeColor="text1"/>
          <w:sz w:val="42"/>
          <w:szCs w:val="42"/>
          <w14:textFill>
            <w14:solidFill>
              <w14:schemeClr w14:val="tx1"/>
            </w14:solidFill>
          </w14:textFill>
        </w:rPr>
        <w:t>关于《湖南晶智家居用品有限公司烫金桌布和桌垫生产建设项目环境影响报告表》的批复</w:t>
      </w:r>
    </w:p>
    <w:p w14:paraId="5CE88181">
      <w:pPr>
        <w:spacing w:line="460" w:lineRule="atLeast"/>
        <w:rPr>
          <w:rStyle w:val="49"/>
          <w:rFonts w:ascii="仿宋" w:hAnsi="仿宋" w:eastAsia="仿宋" w:cs="仿宋"/>
          <w:color w:val="000000" w:themeColor="text1"/>
          <w:sz w:val="32"/>
          <w:szCs w:val="32"/>
          <w14:textFill>
            <w14:solidFill>
              <w14:schemeClr w14:val="tx1"/>
            </w14:solidFill>
          </w14:textFill>
        </w:rPr>
      </w:pPr>
    </w:p>
    <w:p w14:paraId="6CB63F0B">
      <w:pPr>
        <w:spacing w:line="600" w:lineRule="exact"/>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湖南晶智家居用品有限公司：</w:t>
      </w:r>
    </w:p>
    <w:p w14:paraId="6735E538">
      <w:pPr>
        <w:widowControl/>
        <w:spacing w:line="600" w:lineRule="exact"/>
        <w:ind w:firstLine="640" w:firstLineChars="200"/>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你公司报送的《湖南晶智家居用品有限公司烫金桌布和桌垫生产建设项目环境影响报告表》（报批稿）及专家组评审意见均已收悉，经研究，批复如下：</w:t>
      </w:r>
    </w:p>
    <w:p w14:paraId="600EC267">
      <w:pPr>
        <w:pStyle w:val="50"/>
        <w:numPr>
          <w:ilvl w:val="0"/>
          <w:numId w:val="4"/>
        </w:numPr>
        <w:adjustRightInd w:val="0"/>
        <w:snapToGrid w:val="0"/>
        <w:spacing w:line="600" w:lineRule="exact"/>
        <w:ind w:firstLine="640" w:firstLineChars="0"/>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项目建设的主要内容。湖南晶智家居用品有限公司拟投资500万元</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49"/>
          <w:rFonts w:hint="eastAsia" w:ascii="仿宋_GB2312" w:hAnsi="仿宋_GB2312" w:eastAsia="仿宋_GB2312" w:cs="仿宋_GB2312"/>
          <w:color w:val="000000" w:themeColor="text1"/>
          <w:sz w:val="32"/>
          <w:szCs w:val="32"/>
          <w14:textFill>
            <w14:solidFill>
              <w14:schemeClr w14:val="tx1"/>
            </w14:solidFill>
          </w14:textFill>
        </w:rPr>
        <w:t>在衡南高新技术产业开发区云集片区</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租赁</w:t>
      </w:r>
      <w:r>
        <w:rPr>
          <w:rStyle w:val="49"/>
          <w:rFonts w:hint="eastAsia" w:ascii="仿宋_GB2312" w:hAnsi="仿宋_GB2312" w:eastAsia="仿宋_GB2312" w:cs="仿宋_GB2312"/>
          <w:color w:val="000000" w:themeColor="text1"/>
          <w:sz w:val="32"/>
          <w:szCs w:val="32"/>
          <w14:textFill>
            <w14:solidFill>
              <w14:schemeClr w14:val="tx1"/>
            </w14:solidFill>
          </w14:textFill>
        </w:rPr>
        <w:t>金虹传媒公司现有闲置厂房建设烫金桌布和桌垫生产项目</w:t>
      </w:r>
      <w:r>
        <w:rPr>
          <w:rStyle w:val="49"/>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项目总面积</w:t>
      </w:r>
      <w:r>
        <w:rPr>
          <w:rStyle w:val="49"/>
          <w:rFonts w:hint="eastAsia" w:ascii="仿宋_GB2312" w:hAnsi="仿宋_GB2312" w:eastAsia="仿宋_GB2312" w:cs="仿宋_GB2312"/>
          <w:color w:val="000000" w:themeColor="text1"/>
          <w:sz w:val="32"/>
          <w:szCs w:val="32"/>
          <w14:textFill>
            <w14:solidFill>
              <w14:schemeClr w14:val="tx1"/>
            </w14:solidFill>
          </w14:textFill>
        </w:rPr>
        <w:t>1828m</w:t>
      </w:r>
      <w:r>
        <w:rPr>
          <w:rStyle w:val="49"/>
          <w:rFonts w:hint="eastAsia" w:ascii="仿宋_GB2312" w:hAnsi="仿宋_GB2312" w:eastAsia="仿宋_GB2312" w:cs="仿宋_GB2312"/>
          <w:color w:val="000000" w:themeColor="text1"/>
          <w:sz w:val="32"/>
          <w:szCs w:val="32"/>
          <w:vertAlign w:val="superscript"/>
          <w14:textFill>
            <w14:solidFill>
              <w14:schemeClr w14:val="tx1"/>
            </w14:solidFill>
          </w14:textFill>
        </w:rPr>
        <w:t>2</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Style w:val="49"/>
          <w:rFonts w:hint="eastAsia" w:ascii="仿宋_GB2312" w:hAnsi="仿宋_GB2312" w:eastAsia="仿宋_GB2312" w:cs="仿宋_GB2312"/>
          <w:color w:val="000000" w:themeColor="text1"/>
          <w:sz w:val="32"/>
          <w:szCs w:val="32"/>
          <w14:textFill>
            <w14:solidFill>
              <w14:schemeClr w14:val="tx1"/>
            </w14:solidFill>
          </w14:textFill>
        </w:rPr>
        <w:t>主要建设</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内容为</w:t>
      </w:r>
      <w:r>
        <w:rPr>
          <w:rStyle w:val="49"/>
          <w:rFonts w:hint="eastAsia" w:ascii="仿宋_GB2312" w:hAnsi="仿宋_GB2312" w:eastAsia="仿宋_GB2312" w:cs="仿宋_GB2312"/>
          <w:color w:val="000000" w:themeColor="text1"/>
          <w:sz w:val="32"/>
          <w:szCs w:val="32"/>
          <w14:textFill>
            <w14:solidFill>
              <w14:schemeClr w14:val="tx1"/>
            </w14:solidFill>
          </w14:textFill>
        </w:rPr>
        <w:t>：一条年产100万米烫金桌布生产线，一条年产130万片烫金餐垫生产线</w:t>
      </w:r>
      <w:r>
        <w:rPr>
          <w:rStyle w:val="49"/>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49"/>
          <w:rFonts w:hint="eastAsia" w:ascii="仿宋_GB2312" w:hAnsi="仿宋_GB2312" w:eastAsia="仿宋_GB2312" w:cs="仿宋_GB2312"/>
          <w:color w:val="000000" w:themeColor="text1"/>
          <w:sz w:val="32"/>
          <w:szCs w:val="32"/>
          <w14:textFill>
            <w14:solidFill>
              <w14:schemeClr w14:val="tx1"/>
            </w14:solidFill>
          </w14:textFill>
        </w:rPr>
        <w:t>以及辅助工程、</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贮运工程、</w:t>
      </w:r>
      <w:r>
        <w:rPr>
          <w:rStyle w:val="49"/>
          <w:rFonts w:hint="eastAsia" w:ascii="仿宋_GB2312" w:hAnsi="仿宋_GB2312" w:eastAsia="仿宋_GB2312" w:cs="仿宋_GB2312"/>
          <w:color w:val="000000" w:themeColor="text1"/>
          <w:sz w:val="32"/>
          <w:szCs w:val="32"/>
          <w14:textFill>
            <w14:solidFill>
              <w14:schemeClr w14:val="tx1"/>
            </w14:solidFill>
          </w14:textFill>
        </w:rPr>
        <w:t>公用工程、环保工程等配套设施。该项目环境影响报告表提出的污染防治措施客观可行，从环保角度分析，同意该项目建设。</w:t>
      </w:r>
    </w:p>
    <w:p w14:paraId="291B81BC">
      <w:pPr>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在项目建设和运行中，必须严格执行环保法律法规，认真落实报告表提出的各项污染防治措施，并着重做好以下工作：</w:t>
      </w:r>
    </w:p>
    <w:p w14:paraId="56562580">
      <w:pPr>
        <w:adjustRightInd w:val="0"/>
        <w:snapToGrid w:val="0"/>
        <w:spacing w:line="600" w:lineRule="exact"/>
        <w:ind w:firstLine="640" w:firstLineChars="200"/>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（一）做好大气污染防治工作。项目加热、挤出成型、烫金等工序产生的</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有机</w:t>
      </w:r>
      <w:r>
        <w:rPr>
          <w:rStyle w:val="49"/>
          <w:rFonts w:hint="eastAsia" w:ascii="仿宋_GB2312" w:hAnsi="仿宋_GB2312" w:eastAsia="仿宋_GB2312" w:cs="仿宋_GB2312"/>
          <w:color w:val="000000" w:themeColor="text1"/>
          <w:sz w:val="32"/>
          <w:szCs w:val="32"/>
          <w14:textFill>
            <w14:solidFill>
              <w14:schemeClr w14:val="tx1"/>
            </w14:solidFill>
          </w14:textFill>
        </w:rPr>
        <w:t>废气通过</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集气罩+二</w:t>
      </w:r>
      <w:r>
        <w:rPr>
          <w:rStyle w:val="49"/>
          <w:rFonts w:hint="eastAsia" w:ascii="仿宋_GB2312" w:hAnsi="仿宋_GB2312" w:eastAsia="仿宋_GB2312" w:cs="仿宋_GB2312"/>
          <w:color w:val="000000" w:themeColor="text1"/>
          <w:sz w:val="32"/>
          <w:szCs w:val="32"/>
          <w14:textFill>
            <w14:solidFill>
              <w14:schemeClr w14:val="tx1"/>
            </w14:solidFill>
          </w14:textFill>
        </w:rPr>
        <w:t>级活性炭吸附装置处理后经15m排气筒(DA001)达标排放；投料</w:t>
      </w:r>
      <w:r>
        <w:rPr>
          <w:rStyle w:val="49"/>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破碎</w:t>
      </w:r>
      <w:r>
        <w:rPr>
          <w:rStyle w:val="49"/>
          <w:rFonts w:hint="eastAsia" w:ascii="仿宋_GB2312" w:hAnsi="仿宋_GB2312" w:eastAsia="仿宋_GB2312" w:cs="仿宋_GB2312"/>
          <w:color w:val="000000" w:themeColor="text1"/>
          <w:sz w:val="32"/>
          <w:szCs w:val="32"/>
          <w14:textFill>
            <w14:solidFill>
              <w14:schemeClr w14:val="tx1"/>
            </w14:solidFill>
          </w14:textFill>
        </w:rPr>
        <w:t>工序</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产生的废气</w:t>
      </w:r>
      <w:r>
        <w:rPr>
          <w:rStyle w:val="49"/>
          <w:rFonts w:hint="eastAsia" w:ascii="仿宋_GB2312" w:hAnsi="仿宋_GB2312" w:eastAsia="仿宋_GB2312" w:cs="仿宋_GB2312"/>
          <w:color w:val="000000" w:themeColor="text1"/>
          <w:sz w:val="32"/>
          <w:szCs w:val="32"/>
          <w14:textFill>
            <w14:solidFill>
              <w14:schemeClr w14:val="tx1"/>
            </w14:solidFill>
          </w14:textFill>
        </w:rPr>
        <w:t>通过</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密闭生产设备、加强车间通风、</w:t>
      </w:r>
      <w:r>
        <w:rPr>
          <w:rStyle w:val="49"/>
          <w:rFonts w:hint="eastAsia" w:ascii="仿宋_GB2312" w:hAnsi="仿宋_GB2312" w:eastAsia="仿宋_GB2312" w:cs="仿宋_GB2312"/>
          <w:color w:val="000000" w:themeColor="text1"/>
          <w:sz w:val="32"/>
          <w:szCs w:val="32"/>
          <w14:textFill>
            <w14:solidFill>
              <w14:schemeClr w14:val="tx1"/>
            </w14:solidFill>
          </w14:textFill>
        </w:rPr>
        <w:t>厂房阻隔后无组织达标排放。</w:t>
      </w:r>
    </w:p>
    <w:p w14:paraId="3916D83A">
      <w:pPr>
        <w:pStyle w:val="45"/>
        <w:ind w:firstLine="480"/>
        <w:jc w:val="both"/>
        <w:rPr>
          <w:rFonts w:hint="eastAsia" w:ascii="仿宋_GB2312" w:hAnsi="仿宋_GB2312" w:eastAsia="仿宋_GB2312" w:cs="仿宋_GB2312"/>
          <w:color w:val="000000" w:themeColor="text1"/>
          <w:sz w:val="32"/>
          <w:szCs w:val="32"/>
          <w14:textFill>
            <w14:solidFill>
              <w14:schemeClr w14:val="tx1"/>
            </w14:solidFill>
          </w14:textFill>
        </w:rPr>
      </w:pPr>
      <w:bookmarkStart w:id="0" w:name="OLE_LINK1"/>
      <w:r>
        <w:rPr>
          <w:rStyle w:val="49"/>
          <w:rFonts w:hint="eastAsia" w:ascii="仿宋_GB2312" w:hAnsi="仿宋_GB2312" w:eastAsia="仿宋_GB2312" w:cs="仿宋_GB2312"/>
          <w:color w:val="000000" w:themeColor="text1"/>
          <w:sz w:val="32"/>
          <w:szCs w:val="32"/>
          <w14:textFill>
            <w14:solidFill>
              <w14:schemeClr w14:val="tx1"/>
            </w14:solidFill>
          </w14:textFill>
        </w:rPr>
        <w:t>（二）</w:t>
      </w:r>
      <w:bookmarkEnd w:id="0"/>
      <w:r>
        <w:rPr>
          <w:rStyle w:val="49"/>
          <w:rFonts w:hint="eastAsia" w:ascii="仿宋_GB2312" w:hAnsi="仿宋_GB2312" w:eastAsia="仿宋_GB2312" w:cs="仿宋_GB2312"/>
          <w:color w:val="000000" w:themeColor="text1"/>
          <w:sz w:val="32"/>
          <w:szCs w:val="32"/>
          <w14:textFill>
            <w14:solidFill>
              <w14:schemeClr w14:val="tx1"/>
            </w14:solidFill>
          </w14:textFill>
        </w:rPr>
        <w:t>强化水污染防治措施。厂区内实行雨污分流。设备冷却水循环使用不外排；职工生活污水经化粪池处理达到《污水综合排放标准》（GB8978-1996）中三级标准后排入</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衡南县城乡污水处理云集处理厂达标排放</w:t>
      </w:r>
      <w:r>
        <w:rPr>
          <w:rStyle w:val="49"/>
          <w:rFonts w:hint="eastAsia" w:ascii="仿宋_GB2312" w:hAnsi="仿宋_GB2312" w:eastAsia="仿宋_GB2312" w:cs="仿宋_GB2312"/>
          <w:color w:val="000000" w:themeColor="text1"/>
          <w:sz w:val="32"/>
          <w:szCs w:val="32"/>
          <w14:textFill>
            <w14:solidFill>
              <w14:schemeClr w14:val="tx1"/>
            </w14:solidFill>
          </w14:textFill>
        </w:rPr>
        <w:t>。</w:t>
      </w:r>
    </w:p>
    <w:p w14:paraId="4A08707D">
      <w:pPr>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（三）加强各类固废管理，并采取有效措施防止二次污染。 项目废边角料和不合格产品</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回用于生产</w:t>
      </w:r>
      <w:r>
        <w:rPr>
          <w:rStyle w:val="49"/>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49"/>
          <w:rFonts w:hint="eastAsia" w:ascii="仿宋_GB2312" w:hAnsi="仿宋_GB2312" w:eastAsia="仿宋_GB2312" w:cs="仿宋_GB2312"/>
          <w:color w:val="000000" w:themeColor="text1"/>
          <w:sz w:val="32"/>
          <w:szCs w:val="32"/>
          <w14:textFill>
            <w14:solidFill>
              <w14:schemeClr w14:val="tx1"/>
            </w14:solidFill>
          </w14:textFill>
        </w:rPr>
        <w:t>废包装袋、废烫金膜基膜等一般固废统一收集后外售回收单位；员工生活垃圾通过分类收集后交由当地环卫部门统一处置；废含油抹布、废含油</w:t>
      </w:r>
      <w:r>
        <w:rPr>
          <w:rStyle w:val="49"/>
          <w:rFonts w:hint="eastAsia" w:ascii="仿宋_GB2312" w:hAnsi="仿宋_GB2312" w:eastAsia="仿宋_GB2312" w:cs="仿宋_GB2312"/>
          <w:color w:val="000000" w:themeColor="text1"/>
          <w:sz w:val="32"/>
          <w:szCs w:val="32"/>
          <w:lang w:val="en-US" w:eastAsia="zh-CN"/>
          <w14:textFill>
            <w14:solidFill>
              <w14:schemeClr w14:val="tx1"/>
            </w14:solidFill>
          </w14:textFill>
        </w:rPr>
        <w:t>手套、</w:t>
      </w:r>
      <w:r>
        <w:rPr>
          <w:rStyle w:val="49"/>
          <w:rFonts w:hint="eastAsia" w:ascii="仿宋_GB2312" w:hAnsi="仿宋_GB2312" w:eastAsia="仿宋_GB2312" w:cs="仿宋_GB2312"/>
          <w:color w:val="000000" w:themeColor="text1"/>
          <w:sz w:val="32"/>
          <w:szCs w:val="32"/>
          <w14:textFill>
            <w14:solidFill>
              <w14:schemeClr w14:val="tx1"/>
            </w14:solidFill>
          </w14:textFill>
        </w:rPr>
        <w:t>废原料包装桶、废润滑油、废活性炭等危险废物，经危废暂存间暂存后，委托有危废经营资质单位进行处置，并办理好危险废物转移手续。一般工业固废暂存间按照《一般工业固体废物贮存和填埋污染控制标准》(GB18599-2020)要求建设；危险废物暂存间严格按照《危险废物贮存污染控制标准》（GB18597-2023）要求建设。</w:t>
      </w:r>
    </w:p>
    <w:p w14:paraId="202A0542">
      <w:pPr>
        <w:spacing w:line="600" w:lineRule="exact"/>
        <w:ind w:firstLine="640" w:firstLineChars="200"/>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四）做好噪声污染控制工作。项目生产噪声，通过厂房隔噪，选用低噪声设备，采取消声减震，并对设备合理布置等措施，确保营运期厂界噪声达到《工业企业厂界环境噪声排放标准》(GB12348-2008)中的3类标准限值要求。</w:t>
      </w:r>
    </w:p>
    <w:p w14:paraId="3F1D62DA">
      <w:pPr>
        <w:spacing w:line="600" w:lineRule="exact"/>
        <w:ind w:firstLine="640" w:firstLineChars="200"/>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三、加强日常环境管理。建设单位应安排专职环保管理人员，建立健全环境管理制度，制定有效的风险防范措施和应急预案，防止发生环境风险事故。</w:t>
      </w:r>
    </w:p>
    <w:p w14:paraId="2555EED2">
      <w:pPr>
        <w:spacing w:line="600" w:lineRule="exact"/>
        <w:ind w:firstLine="640" w:firstLineChars="200"/>
        <w:jc w:val="both"/>
        <w:rPr>
          <w:rStyle w:val="49"/>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 xml:space="preserve">四、项目竣工后，必须严格执行排污许可制度,在发生实际排污行为前按照国家有关规定申领排污许可证。同时，按照相关规定要求做好环保竣工验收工作，并主动接受衡南生态环境综合行政执法大队监管。如项目性质、规模、地点、采用的工艺及污染防治措施等发生重大变动，建设单位应当依法重新报批该项目的环境影响评价文件。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12C02025">
      <w:pPr>
        <w:adjustRightInd w:val="0"/>
        <w:snapToGrid w:val="0"/>
        <w:spacing w:line="60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r>
        <w:rPr>
          <w:rStyle w:val="49"/>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6CCB1E45">
      <w:pPr>
        <w:adjustRightInd w:val="0"/>
        <w:snapToGrid w:val="0"/>
        <w:spacing w:line="60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p w14:paraId="4B105E68">
      <w:pPr>
        <w:adjustRightInd w:val="0"/>
        <w:snapToGrid w:val="0"/>
        <w:spacing w:line="600" w:lineRule="exact"/>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衡阳市生态环境局</w:t>
      </w:r>
    </w:p>
    <w:p w14:paraId="3312D48F">
      <w:pPr>
        <w:spacing w:line="600" w:lineRule="exact"/>
        <w:jc w:val="righ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p w14:paraId="3D8897D1">
      <w:pPr>
        <w:jc w:val="both"/>
        <w:rPr>
          <w:rFonts w:hint="eastAsia" w:ascii="仿宋_GB2312" w:hAnsi="仿宋_GB2312" w:eastAsia="仿宋_GB2312" w:cs="仿宋_GB2312"/>
          <w:color w:val="FF0000"/>
          <w:sz w:val="32"/>
          <w:szCs w:val="32"/>
        </w:rPr>
      </w:pPr>
      <w:bookmarkStart w:id="1" w:name="_GoBack"/>
      <w:bookmarkEnd w:id="1"/>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4210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E33B0">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52E33B0">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E4CA2"/>
    <w:multiLevelType w:val="singleLevel"/>
    <w:tmpl w:val="A51E4CA2"/>
    <w:lvl w:ilvl="0" w:tentative="0">
      <w:start w:val="1"/>
      <w:numFmt w:val="decimal"/>
      <w:pStyle w:val="48"/>
      <w:suff w:val="nothing"/>
      <w:lvlText w:val="%1、"/>
      <w:lvlJc w:val="left"/>
    </w:lvl>
  </w:abstractNum>
  <w:abstractNum w:abstractNumId="1">
    <w:nsid w:val="0000000C"/>
    <w:multiLevelType w:val="singleLevel"/>
    <w:tmpl w:val="0000000C"/>
    <w:lvl w:ilvl="0" w:tentative="0">
      <w:start w:val="1"/>
      <w:numFmt w:val="bullet"/>
      <w:pStyle w:val="19"/>
      <w:lvlText w:val=""/>
      <w:lvlJc w:val="left"/>
      <w:pPr>
        <w:tabs>
          <w:tab w:val="left" w:pos="2040"/>
        </w:tabs>
        <w:ind w:left="2040" w:hanging="360"/>
      </w:pPr>
      <w:rPr>
        <w:rFonts w:hint="default" w:ascii="Wingdings" w:hAnsi="Wingdings"/>
      </w:rPr>
    </w:lvl>
  </w:abstractNum>
  <w:abstractNum w:abstractNumId="2">
    <w:nsid w:val="1ECBA01E"/>
    <w:multiLevelType w:val="multilevel"/>
    <w:tmpl w:val="1ECBA01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Restart w:val="1"/>
      <w:lvlText w:val="表%1-%5 "/>
      <w:lvlJc w:val="left"/>
      <w:pPr>
        <w:ind w:left="1008" w:hanging="1008"/>
      </w:pPr>
      <w:rPr>
        <w:rFonts w:hint="default" w:ascii="宋体" w:hAnsi="宋体" w:eastAsia="宋体" w:cs="宋体"/>
      </w:rPr>
    </w:lvl>
    <w:lvl w:ilvl="5" w:tentative="0">
      <w:start w:val="1"/>
      <w:numFmt w:val="decimal"/>
      <w:pStyle w:val="14"/>
      <w:lvlText w:val="图%1-%6 "/>
      <w:lvlJc w:val="left"/>
      <w:pPr>
        <w:ind w:left="1151" w:hanging="1151"/>
      </w:pPr>
      <w:rPr>
        <w:rFonts w:hint="default" w:ascii="宋体" w:hAnsi="宋体" w:eastAsia="宋体" w:cs="宋体"/>
      </w:rPr>
    </w:lvl>
    <w:lvl w:ilvl="6" w:tentative="0">
      <w:start w:val="1"/>
      <w:numFmt w:val="decimal"/>
      <w:pStyle w:val="15"/>
      <w:lvlText w:val="%1.%2.%3.%4.%5.%6.%7."/>
      <w:lvlJc w:val="left"/>
      <w:pPr>
        <w:ind w:left="1296" w:hanging="1296"/>
      </w:pPr>
      <w:rPr>
        <w:rFonts w:hint="default"/>
      </w:rPr>
    </w:lvl>
    <w:lvl w:ilvl="7" w:tentative="0">
      <w:start w:val="1"/>
      <w:numFmt w:val="decimal"/>
      <w:pStyle w:val="16"/>
      <w:lvlText w:val="%1.%2.%3.%4.%5.%6.%7.%8."/>
      <w:lvlJc w:val="left"/>
      <w:pPr>
        <w:ind w:left="1440" w:hanging="1440"/>
      </w:pPr>
      <w:rPr>
        <w:rFonts w:hint="default"/>
      </w:rPr>
    </w:lvl>
    <w:lvl w:ilvl="8" w:tentative="0">
      <w:start w:val="1"/>
      <w:numFmt w:val="decimal"/>
      <w:pStyle w:val="17"/>
      <w:lvlText w:val="%1.%2.%3.%4.%5.%6.%7.%8.%9."/>
      <w:lvlJc w:val="left"/>
      <w:pPr>
        <w:ind w:left="1583" w:hanging="1583"/>
      </w:pPr>
      <w:rPr>
        <w:rFonts w:hint="default"/>
      </w:rPr>
    </w:lvl>
  </w:abstractNum>
  <w:abstractNum w:abstractNumId="3">
    <w:nsid w:val="28D582A2"/>
    <w:multiLevelType w:val="singleLevel"/>
    <w:tmpl w:val="28D582A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OTNhMWViNzg0YzYxM2ZhZTIyNjBiMzY1NjYzYzMifQ=="/>
  </w:docVars>
  <w:rsids>
    <w:rsidRoot w:val="006013A8"/>
    <w:rsid w:val="00235E53"/>
    <w:rsid w:val="00283568"/>
    <w:rsid w:val="002F508D"/>
    <w:rsid w:val="002F6FD1"/>
    <w:rsid w:val="0035048A"/>
    <w:rsid w:val="004B23E3"/>
    <w:rsid w:val="005D2EA4"/>
    <w:rsid w:val="006013A8"/>
    <w:rsid w:val="006507D1"/>
    <w:rsid w:val="006B212E"/>
    <w:rsid w:val="0079429C"/>
    <w:rsid w:val="00796200"/>
    <w:rsid w:val="007B4753"/>
    <w:rsid w:val="007C007E"/>
    <w:rsid w:val="007F0C19"/>
    <w:rsid w:val="00834AEB"/>
    <w:rsid w:val="00862629"/>
    <w:rsid w:val="008B1BB5"/>
    <w:rsid w:val="009A0971"/>
    <w:rsid w:val="00A56DBA"/>
    <w:rsid w:val="00CE39AC"/>
    <w:rsid w:val="00DE40FF"/>
    <w:rsid w:val="00DF16CE"/>
    <w:rsid w:val="00E530A6"/>
    <w:rsid w:val="00EC6BF9"/>
    <w:rsid w:val="00F35EC2"/>
    <w:rsid w:val="00F92348"/>
    <w:rsid w:val="00FA3FB3"/>
    <w:rsid w:val="02674079"/>
    <w:rsid w:val="04662176"/>
    <w:rsid w:val="06791CA9"/>
    <w:rsid w:val="0A2D4186"/>
    <w:rsid w:val="0D2135C0"/>
    <w:rsid w:val="0F615EBD"/>
    <w:rsid w:val="10887908"/>
    <w:rsid w:val="11114067"/>
    <w:rsid w:val="118648E6"/>
    <w:rsid w:val="12647A72"/>
    <w:rsid w:val="13DD62E0"/>
    <w:rsid w:val="1BE81E70"/>
    <w:rsid w:val="1C053D3A"/>
    <w:rsid w:val="1E701F5C"/>
    <w:rsid w:val="1E710206"/>
    <w:rsid w:val="20EC1F03"/>
    <w:rsid w:val="21AF5D06"/>
    <w:rsid w:val="24B810BC"/>
    <w:rsid w:val="26DB3FC4"/>
    <w:rsid w:val="2B96058E"/>
    <w:rsid w:val="2DA07759"/>
    <w:rsid w:val="2E837EE4"/>
    <w:rsid w:val="300A6857"/>
    <w:rsid w:val="31393D18"/>
    <w:rsid w:val="31F04BA2"/>
    <w:rsid w:val="34BD3B5F"/>
    <w:rsid w:val="37692CB0"/>
    <w:rsid w:val="386D4FEA"/>
    <w:rsid w:val="39504B23"/>
    <w:rsid w:val="3B760E9F"/>
    <w:rsid w:val="3BB6622A"/>
    <w:rsid w:val="3F3F2B0B"/>
    <w:rsid w:val="402447F6"/>
    <w:rsid w:val="40266A11"/>
    <w:rsid w:val="40281E01"/>
    <w:rsid w:val="406A669C"/>
    <w:rsid w:val="41B75ADD"/>
    <w:rsid w:val="43C1117B"/>
    <w:rsid w:val="45C410C9"/>
    <w:rsid w:val="47C016D8"/>
    <w:rsid w:val="48DD3AFF"/>
    <w:rsid w:val="4BB91895"/>
    <w:rsid w:val="4E277ED8"/>
    <w:rsid w:val="4FAA6BC2"/>
    <w:rsid w:val="50EB3DFB"/>
    <w:rsid w:val="512347F9"/>
    <w:rsid w:val="51A33F54"/>
    <w:rsid w:val="550B2446"/>
    <w:rsid w:val="5A355835"/>
    <w:rsid w:val="5BE47E6C"/>
    <w:rsid w:val="5F7956B1"/>
    <w:rsid w:val="60AE5A5D"/>
    <w:rsid w:val="62FE0CC5"/>
    <w:rsid w:val="63F8380C"/>
    <w:rsid w:val="6600497B"/>
    <w:rsid w:val="67954CFD"/>
    <w:rsid w:val="6A835B8A"/>
    <w:rsid w:val="6BED34E7"/>
    <w:rsid w:val="6C884CE3"/>
    <w:rsid w:val="6D3B2872"/>
    <w:rsid w:val="6E616814"/>
    <w:rsid w:val="7276750B"/>
    <w:rsid w:val="758535B9"/>
    <w:rsid w:val="75E27A48"/>
    <w:rsid w:val="75E523F3"/>
    <w:rsid w:val="7770369F"/>
    <w:rsid w:val="7D895970"/>
    <w:rsid w:val="7F5E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link w:val="27"/>
    <w:autoRedefine/>
    <w:qFormat/>
    <w:uiPriority w:val="0"/>
    <w:pPr>
      <w:keepNext/>
      <w:keepLines/>
      <w:spacing w:line="360" w:lineRule="auto"/>
      <w:jc w:val="left"/>
      <w:outlineLvl w:val="0"/>
    </w:pPr>
    <w:rPr>
      <w:rFonts w:ascii="Times New Roman" w:hAnsi="Times New Roman" w:eastAsia="宋体" w:cs="Times New Roman"/>
      <w:b/>
      <w:bCs/>
      <w:kern w:val="44"/>
      <w:sz w:val="30"/>
      <w:szCs w:val="44"/>
    </w:rPr>
  </w:style>
  <w:style w:type="paragraph" w:styleId="10">
    <w:name w:val="heading 2"/>
    <w:basedOn w:val="1"/>
    <w:next w:val="1"/>
    <w:link w:val="34"/>
    <w:autoRedefine/>
    <w:unhideWhenUsed/>
    <w:qFormat/>
    <w:uiPriority w:val="0"/>
    <w:pPr>
      <w:keepLines/>
      <w:spacing w:line="413" w:lineRule="auto"/>
      <w:jc w:val="left"/>
      <w:outlineLvl w:val="1"/>
    </w:pPr>
    <w:rPr>
      <w:rFonts w:ascii="Times New Roman" w:hAnsi="Times New Roman" w:eastAsia="宋体" w:cs="Times New Roman"/>
      <w:b/>
      <w:sz w:val="28"/>
      <w:szCs w:val="22"/>
    </w:rPr>
  </w:style>
  <w:style w:type="paragraph" w:styleId="11">
    <w:name w:val="heading 3"/>
    <w:basedOn w:val="1"/>
    <w:next w:val="1"/>
    <w:link w:val="37"/>
    <w:autoRedefine/>
    <w:unhideWhenUsed/>
    <w:qFormat/>
    <w:uiPriority w:val="0"/>
    <w:pPr>
      <w:keepNext/>
      <w:keepLines/>
      <w:jc w:val="left"/>
      <w:outlineLvl w:val="2"/>
    </w:pPr>
    <w:rPr>
      <w:rFonts w:ascii="Times New Roman" w:hAnsi="Times New Roman" w:eastAsia="宋体" w:cs="Times New Roman"/>
      <w:b/>
      <w:sz w:val="24"/>
      <w:szCs w:val="22"/>
    </w:rPr>
  </w:style>
  <w:style w:type="paragraph" w:styleId="12">
    <w:name w:val="heading 4"/>
    <w:basedOn w:val="1"/>
    <w:next w:val="1"/>
    <w:autoRedefine/>
    <w:unhideWhenUsed/>
    <w:qFormat/>
    <w:uiPriority w:val="0"/>
    <w:pPr>
      <w:keepNext/>
      <w:keepLines/>
      <w:spacing w:before="140" w:after="140"/>
      <w:ind w:left="864" w:hanging="864"/>
      <w:jc w:val="left"/>
      <w:outlineLvl w:val="3"/>
    </w:pPr>
    <w:rPr>
      <w:rFonts w:ascii="Times New Roman" w:hAnsi="Times New Roman" w:eastAsia="宋体"/>
      <w:b/>
      <w:sz w:val="24"/>
    </w:rPr>
  </w:style>
  <w:style w:type="paragraph" w:styleId="13">
    <w:name w:val="heading 5"/>
    <w:basedOn w:val="1"/>
    <w:next w:val="1"/>
    <w:autoRedefine/>
    <w:unhideWhenUsed/>
    <w:qFormat/>
    <w:uiPriority w:val="0"/>
    <w:pPr>
      <w:keepNext/>
      <w:keepLines/>
      <w:spacing w:line="360" w:lineRule="auto"/>
      <w:ind w:firstLine="1044" w:firstLineChars="200"/>
      <w:jc w:val="left"/>
      <w:outlineLvl w:val="4"/>
    </w:pPr>
    <w:rPr>
      <w:rFonts w:ascii="Times New Roman" w:hAnsi="Times New Roman" w:eastAsia="宋体" w:cs="Times New Roman"/>
      <w:b/>
      <w:sz w:val="24"/>
    </w:rPr>
  </w:style>
  <w:style w:type="paragraph" w:styleId="14">
    <w:name w:val="heading 6"/>
    <w:basedOn w:val="1"/>
    <w:next w:val="1"/>
    <w:autoRedefine/>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5">
    <w:name w:val="heading 7"/>
    <w:basedOn w:val="1"/>
    <w:next w:val="1"/>
    <w:autoRedefine/>
    <w:unhideWhenUsed/>
    <w:qFormat/>
    <w:uiPriority w:val="0"/>
    <w:pPr>
      <w:keepNext/>
      <w:keepLines/>
      <w:numPr>
        <w:ilvl w:val="6"/>
        <w:numId w:val="1"/>
      </w:numPr>
      <w:spacing w:before="240" w:after="64" w:line="317" w:lineRule="auto"/>
      <w:outlineLvl w:val="6"/>
    </w:pPr>
    <w:rPr>
      <w:b/>
      <w:sz w:val="24"/>
    </w:rPr>
  </w:style>
  <w:style w:type="paragraph" w:styleId="16">
    <w:name w:val="heading 8"/>
    <w:basedOn w:val="1"/>
    <w:next w:val="1"/>
    <w:autoRedefine/>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7">
    <w:name w:val="heading 9"/>
    <w:basedOn w:val="1"/>
    <w:next w:val="1"/>
    <w:autoRedefine/>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spacing w:line="360" w:lineRule="auto"/>
    </w:pPr>
    <w:rPr>
      <w:rFonts w:hint="eastAsia" w:hAnsi="宋体" w:eastAsia="宋体"/>
      <w:color w:val="000000"/>
    </w:rPr>
  </w:style>
  <w:style w:type="paragraph" w:customStyle="1" w:styleId="3">
    <w:name w:val="纯文本1"/>
    <w:basedOn w:val="1"/>
    <w:qFormat/>
    <w:uiPriority w:val="0"/>
    <w:pPr>
      <w:adjustRightInd w:val="0"/>
    </w:pPr>
    <w:rPr>
      <w:rFonts w:ascii="宋体" w:hAnsi="Courier New"/>
      <w:szCs w:val="20"/>
    </w:rPr>
  </w:style>
  <w:style w:type="paragraph" w:styleId="4">
    <w:name w:val="Body Text First Indent 2"/>
    <w:basedOn w:val="5"/>
    <w:next w:val="7"/>
    <w:autoRedefine/>
    <w:qFormat/>
    <w:uiPriority w:val="0"/>
    <w:pPr>
      <w:spacing w:line="360" w:lineRule="auto"/>
      <w:ind w:left="0" w:leftChars="0"/>
    </w:pPr>
    <w:rPr>
      <w:rFonts w:ascii="Times New Roman" w:hAnsi="Times New Roman" w:eastAsia="宋体"/>
    </w:rPr>
  </w:style>
  <w:style w:type="paragraph" w:styleId="5">
    <w:name w:val="Body Text Indent"/>
    <w:basedOn w:val="1"/>
    <w:next w:val="6"/>
    <w:autoRedefine/>
    <w:qFormat/>
    <w:uiPriority w:val="0"/>
    <w:pPr>
      <w:spacing w:after="120"/>
      <w:ind w:left="420" w:leftChars="200"/>
    </w:pPr>
  </w:style>
  <w:style w:type="paragraph" w:styleId="6">
    <w:name w:val="Body Text Indent 2"/>
    <w:basedOn w:val="1"/>
    <w:next w:val="1"/>
    <w:link w:val="39"/>
    <w:autoRedefine/>
    <w:qFormat/>
    <w:uiPriority w:val="0"/>
    <w:pPr>
      <w:tabs>
        <w:tab w:val="left" w:pos="0"/>
      </w:tabs>
      <w:spacing w:line="360" w:lineRule="auto"/>
      <w:jc w:val="center"/>
    </w:pPr>
    <w:rPr>
      <w:rFonts w:ascii="Times New Roman" w:hAnsi="Times New Roman" w:eastAsia="宋体" w:cs="Times New Roman"/>
      <w:b/>
      <w:szCs w:val="22"/>
    </w:rPr>
  </w:style>
  <w:style w:type="paragraph" w:styleId="7">
    <w:name w:val="Body Text First Indent"/>
    <w:basedOn w:val="8"/>
    <w:next w:val="1"/>
    <w:qFormat/>
    <w:uiPriority w:val="0"/>
    <w:pPr>
      <w:ind w:firstLine="420" w:firstLineChars="100"/>
    </w:pPr>
  </w:style>
  <w:style w:type="paragraph" w:styleId="8">
    <w:name w:val="Body Text"/>
    <w:basedOn w:val="1"/>
    <w:next w:val="1"/>
    <w:link w:val="35"/>
    <w:autoRedefine/>
    <w:qFormat/>
    <w:uiPriority w:val="0"/>
    <w:pPr>
      <w:widowControl/>
      <w:snapToGrid w:val="0"/>
      <w:spacing w:line="260" w:lineRule="auto"/>
      <w:ind w:right="113"/>
    </w:pPr>
    <w:rPr>
      <w:rFonts w:ascii="Times New Roman" w:hAnsi="Times New Roman" w:eastAsia="宋体"/>
      <w:kern w:val="0"/>
      <w:sz w:val="18"/>
      <w:szCs w:val="20"/>
    </w:rPr>
  </w:style>
  <w:style w:type="paragraph" w:styleId="18">
    <w:name w:val="Normal Indent"/>
    <w:basedOn w:val="1"/>
    <w:autoRedefine/>
    <w:qFormat/>
    <w:uiPriority w:val="0"/>
    <w:pPr>
      <w:ind w:firstLine="420" w:firstLineChars="200"/>
    </w:pPr>
  </w:style>
  <w:style w:type="paragraph" w:styleId="19">
    <w:name w:val="List Bullet 5"/>
    <w:basedOn w:val="1"/>
    <w:autoRedefine/>
    <w:qFormat/>
    <w:uiPriority w:val="0"/>
    <w:pPr>
      <w:numPr>
        <w:ilvl w:val="0"/>
        <w:numId w:val="2"/>
      </w:numPr>
    </w:p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link w:val="41"/>
    <w:autoRedefine/>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paragraph" w:styleId="22">
    <w:name w:val="table of figures"/>
    <w:basedOn w:val="1"/>
    <w:next w:val="1"/>
    <w:autoRedefine/>
    <w:qFormat/>
    <w:uiPriority w:val="0"/>
    <w:pPr>
      <w:ind w:left="200" w:leftChars="200" w:hanging="200" w:hangingChars="200"/>
    </w:pPr>
  </w:style>
  <w:style w:type="paragraph" w:styleId="23">
    <w:name w:val="Title"/>
    <w:basedOn w:val="1"/>
    <w:autoRedefine/>
    <w:qFormat/>
    <w:uiPriority w:val="0"/>
    <w:pPr>
      <w:spacing w:before="240" w:after="60"/>
      <w:jc w:val="center"/>
      <w:outlineLvl w:val="0"/>
    </w:pPr>
    <w:rPr>
      <w:rFonts w:ascii="Arial" w:hAnsi="Arial"/>
      <w:b/>
      <w:sz w:val="32"/>
    </w:rPr>
  </w:style>
  <w:style w:type="paragraph" w:customStyle="1" w:styleId="26">
    <w:name w:val="0正文唐"/>
    <w:basedOn w:val="1"/>
    <w:link w:val="42"/>
    <w:autoRedefine/>
    <w:qFormat/>
    <w:uiPriority w:val="0"/>
    <w:pPr>
      <w:spacing w:line="360" w:lineRule="auto"/>
      <w:ind w:firstLine="720" w:firstLineChars="200"/>
      <w:jc w:val="left"/>
    </w:pPr>
    <w:rPr>
      <w:rFonts w:ascii="Times New Roman" w:hAnsi="Times New Roman" w:eastAsia="宋体" w:cs="Times New Roman"/>
      <w:sz w:val="28"/>
    </w:rPr>
  </w:style>
  <w:style w:type="character" w:customStyle="1" w:styleId="27">
    <w:name w:val="标题 1 Char"/>
    <w:link w:val="9"/>
    <w:autoRedefine/>
    <w:qFormat/>
    <w:uiPriority w:val="99"/>
    <w:rPr>
      <w:rFonts w:ascii="Times New Roman" w:hAnsi="Times New Roman" w:eastAsia="宋体" w:cs="Times New Roman"/>
      <w:b/>
      <w:kern w:val="44"/>
      <w:sz w:val="30"/>
    </w:rPr>
  </w:style>
  <w:style w:type="paragraph" w:customStyle="1" w:styleId="28">
    <w:name w:val="正文5号"/>
    <w:basedOn w:val="1"/>
    <w:autoRedefine/>
    <w:qFormat/>
    <w:uiPriority w:val="0"/>
    <w:pPr>
      <w:spacing w:line="360" w:lineRule="auto"/>
      <w:ind w:firstLine="422" w:firstLineChars="200"/>
    </w:pPr>
    <w:rPr>
      <w:rFonts w:ascii="Times New Roman" w:hAnsi="Times New Roman"/>
      <w:bCs/>
      <w:kern w:val="24"/>
      <w:szCs w:val="21"/>
    </w:rPr>
  </w:style>
  <w:style w:type="paragraph" w:customStyle="1" w:styleId="29">
    <w:name w:val="正文5号-缩进2"/>
    <w:basedOn w:val="1"/>
    <w:autoRedefine/>
    <w:qFormat/>
    <w:uiPriority w:val="0"/>
    <w:pPr>
      <w:autoSpaceDE w:val="0"/>
      <w:autoSpaceDN w:val="0"/>
      <w:adjustRightInd w:val="0"/>
      <w:snapToGrid w:val="0"/>
      <w:spacing w:line="360" w:lineRule="auto"/>
      <w:ind w:firstLine="420" w:firstLineChars="200"/>
    </w:pPr>
    <w:rPr>
      <w:rFonts w:ascii="Times New Roman" w:hAnsi="Times New Roman" w:cs="宋体"/>
      <w:kern w:val="0"/>
      <w:szCs w:val="21"/>
    </w:rPr>
  </w:style>
  <w:style w:type="paragraph" w:customStyle="1" w:styleId="30">
    <w:name w:val="5号-缩进2"/>
    <w:basedOn w:val="1"/>
    <w:autoRedefine/>
    <w:qFormat/>
    <w:uiPriority w:val="0"/>
    <w:pPr>
      <w:autoSpaceDE w:val="0"/>
      <w:autoSpaceDN w:val="0"/>
      <w:adjustRightInd w:val="0"/>
      <w:snapToGrid w:val="0"/>
      <w:spacing w:line="360" w:lineRule="auto"/>
      <w:ind w:firstLine="420" w:firstLineChars="200"/>
    </w:pPr>
    <w:rPr>
      <w:rFonts w:ascii="Times New Roman" w:hAnsi="Times New Roman" w:eastAsia="宋体" w:cs="宋体"/>
      <w:kern w:val="0"/>
      <w:szCs w:val="21"/>
    </w:rPr>
  </w:style>
  <w:style w:type="paragraph" w:customStyle="1" w:styleId="31">
    <w:name w:val="5号居中"/>
    <w:basedOn w:val="1"/>
    <w:autoRedefine/>
    <w:qFormat/>
    <w:uiPriority w:val="0"/>
    <w:pPr>
      <w:adjustRightInd w:val="0"/>
      <w:snapToGrid w:val="0"/>
      <w:jc w:val="center"/>
    </w:pPr>
    <w:rPr>
      <w:rFonts w:ascii="Times New Roman" w:hAnsi="Times New Roman" w:cs="宋体"/>
      <w:szCs w:val="21"/>
    </w:rPr>
  </w:style>
  <w:style w:type="paragraph" w:customStyle="1" w:styleId="32">
    <w:name w:val="表头"/>
    <w:basedOn w:val="18"/>
    <w:next w:val="1"/>
    <w:autoRedefine/>
    <w:qFormat/>
    <w:uiPriority w:val="0"/>
    <w:pPr>
      <w:autoSpaceDE w:val="0"/>
      <w:autoSpaceDN w:val="0"/>
      <w:adjustRightInd w:val="0"/>
      <w:spacing w:before="50" w:beforeLines="50"/>
      <w:ind w:firstLine="0" w:firstLineChars="0"/>
      <w:jc w:val="center"/>
      <w:textAlignment w:val="baseline"/>
    </w:pPr>
    <w:rPr>
      <w:rFonts w:ascii="Times New Roman" w:hAnsi="Times New Roman" w:eastAsia="宋体" w:cs="Times New Roman"/>
      <w:b/>
      <w:color w:val="000000"/>
      <w:szCs w:val="21"/>
    </w:rPr>
  </w:style>
  <w:style w:type="paragraph" w:customStyle="1" w:styleId="33">
    <w:name w:val="表头5号"/>
    <w:basedOn w:val="1"/>
    <w:autoRedefine/>
    <w:qFormat/>
    <w:uiPriority w:val="0"/>
    <w:pPr>
      <w:spacing w:before="50" w:beforeLines="50"/>
      <w:jc w:val="center"/>
    </w:pPr>
    <w:rPr>
      <w:rFonts w:ascii="Times New Roman" w:hAnsi="Times New Roman" w:eastAsia="宋体" w:cs="Times New Roman"/>
      <w:b/>
      <w:bCs/>
      <w:szCs w:val="21"/>
      <w:lang w:bidi="en-US"/>
    </w:rPr>
  </w:style>
  <w:style w:type="character" w:customStyle="1" w:styleId="34">
    <w:name w:val="标题 2 Char"/>
    <w:link w:val="10"/>
    <w:autoRedefine/>
    <w:qFormat/>
    <w:uiPriority w:val="0"/>
    <w:rPr>
      <w:rFonts w:ascii="Times New Roman" w:hAnsi="Times New Roman" w:eastAsia="宋体" w:cs="Times New Roman"/>
      <w:b/>
      <w:sz w:val="28"/>
      <w:szCs w:val="22"/>
    </w:rPr>
  </w:style>
  <w:style w:type="character" w:customStyle="1" w:styleId="35">
    <w:name w:val="正文文本 Char"/>
    <w:link w:val="8"/>
    <w:autoRedefine/>
    <w:qFormat/>
    <w:locked/>
    <w:uiPriority w:val="0"/>
    <w:rPr>
      <w:rFonts w:ascii="Times New Roman" w:hAnsi="Times New Roman" w:eastAsia="宋体"/>
      <w:sz w:val="18"/>
    </w:rPr>
  </w:style>
  <w:style w:type="paragraph" w:customStyle="1" w:styleId="36">
    <w:name w:val="0正文"/>
    <w:basedOn w:val="1"/>
    <w:autoRedefine/>
    <w:qFormat/>
    <w:uiPriority w:val="0"/>
    <w:pPr>
      <w:spacing w:line="360" w:lineRule="auto"/>
      <w:ind w:firstLine="1040" w:firstLineChars="200"/>
    </w:pPr>
    <w:rPr>
      <w:rFonts w:ascii="Times New Roman" w:hAnsi="Times New Roman" w:cs="Times New Roman"/>
      <w:sz w:val="24"/>
    </w:rPr>
  </w:style>
  <w:style w:type="character" w:customStyle="1" w:styleId="37">
    <w:name w:val="标题 3 Char"/>
    <w:link w:val="11"/>
    <w:autoRedefine/>
    <w:qFormat/>
    <w:uiPriority w:val="0"/>
    <w:rPr>
      <w:rFonts w:ascii="Times New Roman" w:hAnsi="Times New Roman" w:eastAsia="宋体" w:cs="Times New Roman"/>
      <w:b/>
      <w:sz w:val="28"/>
      <w:szCs w:val="30"/>
    </w:rPr>
  </w:style>
  <w:style w:type="paragraph" w:customStyle="1" w:styleId="38">
    <w:name w:val="表 标题"/>
    <w:basedOn w:val="22"/>
    <w:autoRedefine/>
    <w:qFormat/>
    <w:uiPriority w:val="0"/>
    <w:pPr>
      <w:spacing w:before="50" w:beforeLines="50"/>
      <w:ind w:left="0" w:leftChars="0" w:firstLine="0" w:firstLineChars="0"/>
      <w:jc w:val="center"/>
    </w:pPr>
    <w:rPr>
      <w:rFonts w:ascii="Times New Roman" w:hAnsi="Times New Roman" w:eastAsia="宋体" w:cs="Times New Roman"/>
      <w:b/>
      <w:szCs w:val="20"/>
    </w:rPr>
  </w:style>
  <w:style w:type="character" w:customStyle="1" w:styleId="39">
    <w:name w:val="正文文本缩进 2 Char"/>
    <w:link w:val="6"/>
    <w:autoRedefine/>
    <w:qFormat/>
    <w:uiPriority w:val="0"/>
    <w:rPr>
      <w:rFonts w:ascii="Times New Roman" w:hAnsi="Times New Roman" w:eastAsia="宋体" w:cs="Times New Roman"/>
      <w:b/>
      <w:sz w:val="21"/>
      <w:szCs w:val="22"/>
    </w:rPr>
  </w:style>
  <w:style w:type="paragraph" w:customStyle="1" w:styleId="40">
    <w:name w:val="正  文"/>
    <w:autoRedefine/>
    <w:qFormat/>
    <w:uiPriority w:val="0"/>
    <w:pPr>
      <w:widowControl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41">
    <w:name w:val="页眉 Char"/>
    <w:link w:val="21"/>
    <w:autoRedefine/>
    <w:qFormat/>
    <w:uiPriority w:val="99"/>
    <w:rPr>
      <w:rFonts w:ascii="Times New Roman" w:hAnsi="Times New Roman" w:eastAsia="宋体"/>
      <w:kern w:val="2"/>
      <w:sz w:val="18"/>
      <w:szCs w:val="18"/>
    </w:rPr>
  </w:style>
  <w:style w:type="character" w:customStyle="1" w:styleId="42">
    <w:name w:val="0正文唐 Char"/>
    <w:link w:val="26"/>
    <w:autoRedefine/>
    <w:qFormat/>
    <w:uiPriority w:val="0"/>
    <w:rPr>
      <w:rFonts w:ascii="Times New Roman" w:hAnsi="Times New Roman" w:eastAsia="宋体" w:cs="Times New Roman"/>
      <w:sz w:val="28"/>
    </w:rPr>
  </w:style>
  <w:style w:type="paragraph" w:customStyle="1" w:styleId="43">
    <w:name w:val="正文-唐"/>
    <w:basedOn w:val="26"/>
    <w:autoRedefine/>
    <w:qFormat/>
    <w:uiPriority w:val="0"/>
    <w:pPr>
      <w:ind w:firstLine="600"/>
    </w:pPr>
    <w:rPr>
      <w:szCs w:val="22"/>
    </w:rPr>
  </w:style>
  <w:style w:type="paragraph" w:customStyle="1" w:styleId="44">
    <w:name w:val="自编-正文"/>
    <w:basedOn w:val="1"/>
    <w:autoRedefine/>
    <w:qFormat/>
    <w:uiPriority w:val="0"/>
    <w:pPr>
      <w:spacing w:line="360" w:lineRule="auto"/>
      <w:ind w:firstLine="480" w:firstLineChars="200"/>
      <w:jc w:val="left"/>
    </w:pPr>
    <w:rPr>
      <w:rFonts w:ascii="Times New Roman" w:hAnsi="Times New Roman" w:eastAsia="宋体" w:cs="宋体"/>
      <w:sz w:val="24"/>
    </w:rPr>
  </w:style>
  <w:style w:type="paragraph" w:customStyle="1" w:styleId="45">
    <w:name w:val="报告正文"/>
    <w:basedOn w:val="1"/>
    <w:link w:val="46"/>
    <w:autoRedefine/>
    <w:qFormat/>
    <w:uiPriority w:val="0"/>
    <w:pPr>
      <w:spacing w:line="360" w:lineRule="auto"/>
      <w:textAlignment w:val="baseline"/>
    </w:pPr>
    <w:rPr>
      <w:rFonts w:ascii="Times New Roman" w:hAnsi="Times New Roman" w:eastAsia="宋体"/>
      <w:kern w:val="24"/>
      <w:sz w:val="24"/>
    </w:rPr>
  </w:style>
  <w:style w:type="character" w:customStyle="1" w:styleId="46">
    <w:name w:val="报告正文 Char"/>
    <w:link w:val="45"/>
    <w:autoRedefine/>
    <w:qFormat/>
    <w:uiPriority w:val="0"/>
    <w:rPr>
      <w:rFonts w:ascii="Times New Roman" w:hAnsi="Times New Roman" w:eastAsia="宋体"/>
      <w:kern w:val="24"/>
      <w:sz w:val="24"/>
      <w:szCs w:val="24"/>
    </w:rPr>
  </w:style>
  <w:style w:type="paragraph" w:customStyle="1" w:styleId="47">
    <w:name w:val="表内文字"/>
    <w:basedOn w:val="1"/>
    <w:autoRedefine/>
    <w:qFormat/>
    <w:uiPriority w:val="0"/>
    <w:pPr>
      <w:jc w:val="center"/>
    </w:pPr>
    <w:rPr>
      <w:rFonts w:ascii="Times New Roman" w:hAnsi="Times New Roman" w:eastAsia="宋体" w:cs="Times New Roman"/>
      <w:bCs/>
      <w:szCs w:val="21"/>
    </w:rPr>
  </w:style>
  <w:style w:type="paragraph" w:customStyle="1" w:styleId="48">
    <w:name w:val="0验收正文"/>
    <w:basedOn w:val="26"/>
    <w:next w:val="26"/>
    <w:autoRedefine/>
    <w:qFormat/>
    <w:uiPriority w:val="0"/>
    <w:pPr>
      <w:numPr>
        <w:ilvl w:val="0"/>
        <w:numId w:val="3"/>
      </w:numPr>
      <w:jc w:val="both"/>
    </w:pPr>
    <w:rPr>
      <w:bCs/>
    </w:rPr>
  </w:style>
  <w:style w:type="character" w:customStyle="1" w:styleId="49">
    <w:name w:val="content1"/>
    <w:basedOn w:val="25"/>
    <w:autoRedefine/>
    <w:qFormat/>
    <w:uiPriority w:val="0"/>
    <w:rPr>
      <w:color w:val="000000"/>
      <w:sz w:val="20"/>
      <w:szCs w:val="20"/>
    </w:rPr>
  </w:style>
  <w:style w:type="paragraph" w:customStyle="1" w:styleId="50">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1136</Words>
  <Characters>1210</Characters>
  <Lines>9</Lines>
  <Paragraphs>2</Paragraphs>
  <TotalTime>13</TotalTime>
  <ScaleCrop>false</ScaleCrop>
  <LinksUpToDate>false</LinksUpToDate>
  <CharactersWithSpaces>1316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2024-04-01T02:17:00Z</dcterms:created>
  <dc:creator>fm</dc:creator>
  <cp:lastModifiedBy>haiy(•̀⌄•́)</cp:lastModifiedBy>
  <cp:lastPrinted>2024-10-09T08:05:00Z</cp:lastPrinted>
  <dcterms:modified xsi:type="dcterms:W3CDTF">2024-10-09T08:18:05Z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1AC8FC0CDB254E5FB33527BB3D2D3296_13</vt:lpwstr>
  </property>
</Properties>
</file>