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920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sz w:val="32"/>
          <w:szCs w:val="32"/>
        </w:rPr>
      </w:pPr>
    </w:p>
    <w:p w14:paraId="572AC84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sz w:val="32"/>
          <w:szCs w:val="32"/>
        </w:rPr>
      </w:pPr>
    </w:p>
    <w:p w14:paraId="791FEF4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color w:val="auto"/>
          <w:sz w:val="32"/>
          <w:szCs w:val="32"/>
        </w:rPr>
      </w:pPr>
    </w:p>
    <w:p w14:paraId="0300328B">
      <w:pPr>
        <w:spacing w:line="600" w:lineRule="exact"/>
        <w:jc w:val="center"/>
        <w:rPr>
          <w:rFonts w:ascii="仿宋" w:hAnsi="仿宋" w:eastAsia="仿宋" w:cs="仿宋"/>
          <w:color w:val="auto"/>
          <w:sz w:val="32"/>
          <w:szCs w:val="32"/>
        </w:rPr>
      </w:pPr>
      <w:r>
        <w:rPr>
          <w:rFonts w:hint="eastAsia" w:ascii="仿宋" w:hAnsi="仿宋" w:eastAsia="仿宋" w:cs="仿宋"/>
          <w:color w:val="auto"/>
          <w:sz w:val="32"/>
          <w:szCs w:val="32"/>
        </w:rPr>
        <w:t xml:space="preserve">                               衡清环审字〔2024〕</w:t>
      </w:r>
      <w:r>
        <w:rPr>
          <w:rFonts w:hint="eastAsia" w:ascii="仿宋" w:hAnsi="仿宋" w:eastAsia="仿宋" w:cs="仿宋"/>
          <w:color w:val="auto"/>
          <w:sz w:val="32"/>
          <w:szCs w:val="32"/>
          <w:lang w:val="en-US" w:eastAsia="zh-CN"/>
        </w:rPr>
        <w:t>65</w:t>
      </w:r>
      <w:r>
        <w:rPr>
          <w:rFonts w:hint="eastAsia" w:ascii="仿宋" w:hAnsi="仿宋" w:eastAsia="仿宋" w:cs="仿宋"/>
          <w:color w:val="auto"/>
          <w:sz w:val="32"/>
          <w:szCs w:val="32"/>
        </w:rPr>
        <w:t>号</w:t>
      </w:r>
    </w:p>
    <w:p w14:paraId="68E06EA0">
      <w:pPr>
        <w:spacing w:line="600" w:lineRule="exact"/>
        <w:jc w:val="center"/>
        <w:rPr>
          <w:rFonts w:ascii="仿宋" w:hAnsi="仿宋" w:eastAsia="仿宋" w:cs="仿宋"/>
          <w:color w:val="auto"/>
          <w:sz w:val="32"/>
          <w:szCs w:val="32"/>
        </w:rPr>
      </w:pPr>
    </w:p>
    <w:p w14:paraId="7EE8874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spacing w:val="-11"/>
          <w:sz w:val="36"/>
          <w:szCs w:val="36"/>
        </w:rPr>
      </w:pPr>
      <w:r>
        <w:rPr>
          <w:rFonts w:hint="eastAsia" w:ascii="方正小标宋简体" w:hAnsi="方正小标宋简体" w:eastAsia="方正小标宋简体" w:cs="方正小标宋简体"/>
          <w:b/>
          <w:bCs/>
          <w:color w:val="auto"/>
          <w:spacing w:val="-11"/>
          <w:sz w:val="36"/>
          <w:szCs w:val="36"/>
        </w:rPr>
        <w:t>衡阳市生态环境局</w:t>
      </w:r>
    </w:p>
    <w:p w14:paraId="1E7386F0">
      <w:pPr>
        <w:keepNext w:val="0"/>
        <w:keepLines w:val="0"/>
        <w:pageBreakBefore w:val="0"/>
        <w:widowControl w:val="0"/>
        <w:kinsoku/>
        <w:wordWrap/>
        <w:overflowPunct/>
        <w:topLinePunct w:val="0"/>
        <w:autoSpaceDE/>
        <w:autoSpaceDN/>
        <w:bidi w:val="0"/>
        <w:adjustRightInd/>
        <w:snapToGrid/>
        <w:spacing w:line="600" w:lineRule="exact"/>
        <w:ind w:firstLine="634"/>
        <w:jc w:val="center"/>
        <w:textAlignment w:val="auto"/>
        <w:rPr>
          <w:rFonts w:hint="eastAsia" w:ascii="方正小标宋简体" w:hAnsi="方正小标宋简体" w:eastAsia="方正小标宋简体" w:cs="方正小标宋简体"/>
          <w:b/>
          <w:bCs/>
          <w:color w:val="auto"/>
          <w:spacing w:val="-11"/>
          <w:sz w:val="36"/>
          <w:szCs w:val="36"/>
          <w:lang w:eastAsia="zh-CN"/>
        </w:rPr>
      </w:pPr>
      <w:r>
        <w:rPr>
          <w:rFonts w:hint="eastAsia" w:ascii="方正小标宋简体" w:hAnsi="方正小标宋简体" w:eastAsia="方正小标宋简体" w:cs="方正小标宋简体"/>
          <w:b/>
          <w:bCs/>
          <w:color w:val="auto"/>
          <w:spacing w:val="-11"/>
          <w:sz w:val="36"/>
          <w:szCs w:val="36"/>
        </w:rPr>
        <w:t>关于《</w:t>
      </w:r>
      <w:r>
        <w:rPr>
          <w:rFonts w:hint="eastAsia" w:ascii="方正小标宋简体" w:hAnsi="方正小标宋简体" w:eastAsia="方正小标宋简体" w:cs="方正小标宋简体"/>
          <w:b/>
          <w:bCs/>
          <w:color w:val="auto"/>
          <w:spacing w:val="-11"/>
          <w:sz w:val="36"/>
          <w:szCs w:val="36"/>
          <w:lang w:eastAsia="zh-CN"/>
        </w:rPr>
        <w:t>湖南蔚恒再生资源有限公司年拆解3万吨废电机、变压器、电表、发动机、压缩机、发电机、计量仪器仪表、控制屏、电流电压互感器、电线项目环境影响</w:t>
      </w:r>
    </w:p>
    <w:p w14:paraId="6253E74F">
      <w:pPr>
        <w:keepNext w:val="0"/>
        <w:keepLines w:val="0"/>
        <w:pageBreakBefore w:val="0"/>
        <w:widowControl w:val="0"/>
        <w:kinsoku/>
        <w:wordWrap/>
        <w:overflowPunct/>
        <w:topLinePunct w:val="0"/>
        <w:autoSpaceDE/>
        <w:autoSpaceDN/>
        <w:bidi w:val="0"/>
        <w:adjustRightInd/>
        <w:snapToGrid/>
        <w:spacing w:line="600" w:lineRule="exact"/>
        <w:ind w:firstLine="634"/>
        <w:jc w:val="center"/>
        <w:textAlignment w:val="auto"/>
        <w:rPr>
          <w:rFonts w:hint="eastAsia" w:ascii="方正小标宋简体" w:hAnsi="方正小标宋简体" w:eastAsia="方正小标宋简体" w:cs="方正小标宋简体"/>
          <w:b/>
          <w:bCs/>
          <w:color w:val="auto"/>
          <w:spacing w:val="-11"/>
          <w:sz w:val="36"/>
          <w:szCs w:val="36"/>
        </w:rPr>
      </w:pPr>
      <w:r>
        <w:rPr>
          <w:rFonts w:hint="eastAsia" w:ascii="方正小标宋简体" w:hAnsi="方正小标宋简体" w:eastAsia="方正小标宋简体" w:cs="方正小标宋简体"/>
          <w:b/>
          <w:bCs/>
          <w:color w:val="auto"/>
          <w:spacing w:val="-11"/>
          <w:sz w:val="36"/>
          <w:szCs w:val="36"/>
          <w:lang w:eastAsia="zh-CN"/>
        </w:rPr>
        <w:t>报告表</w:t>
      </w:r>
      <w:r>
        <w:rPr>
          <w:rFonts w:hint="eastAsia" w:ascii="方正小标宋简体" w:hAnsi="方正小标宋简体" w:eastAsia="方正小标宋简体" w:cs="方正小标宋简体"/>
          <w:b/>
          <w:bCs/>
          <w:color w:val="auto"/>
          <w:spacing w:val="-11"/>
          <w:sz w:val="36"/>
          <w:szCs w:val="36"/>
        </w:rPr>
        <w:t>》的批复</w:t>
      </w:r>
    </w:p>
    <w:p w14:paraId="58F69684">
      <w:pPr>
        <w:spacing w:line="460" w:lineRule="atLeast"/>
        <w:rPr>
          <w:rStyle w:val="47"/>
          <w:rFonts w:ascii="仿宋" w:hAnsi="仿宋" w:eastAsia="仿宋" w:cs="仿宋"/>
          <w:color w:val="auto"/>
          <w:sz w:val="32"/>
          <w:szCs w:val="32"/>
        </w:rPr>
      </w:pPr>
    </w:p>
    <w:p w14:paraId="6064668B">
      <w:pPr>
        <w:keepNext w:val="0"/>
        <w:keepLines w:val="0"/>
        <w:pageBreakBefore w:val="0"/>
        <w:kinsoku/>
        <w:wordWrap/>
        <w:overflowPunct/>
        <w:topLinePunct w:val="0"/>
        <w:autoSpaceDE/>
        <w:autoSpaceDN/>
        <w:bidi w:val="0"/>
        <w:spacing w:line="580" w:lineRule="exact"/>
        <w:textAlignment w:val="auto"/>
        <w:rPr>
          <w:rStyle w:val="47"/>
          <w:rFonts w:hint="eastAsia" w:ascii="仿宋_GB2312" w:hAnsi="仿宋_GB2312" w:eastAsia="仿宋_GB2312" w:cs="仿宋_GB2312"/>
          <w:color w:val="auto"/>
          <w:sz w:val="32"/>
          <w:szCs w:val="32"/>
        </w:rPr>
      </w:pPr>
      <w:r>
        <w:rPr>
          <w:rStyle w:val="47"/>
          <w:rFonts w:hint="eastAsia" w:ascii="仿宋_GB2312" w:hAnsi="仿宋_GB2312" w:eastAsia="仿宋_GB2312" w:cs="仿宋_GB2312"/>
          <w:color w:val="auto"/>
          <w:sz w:val="32"/>
          <w:szCs w:val="32"/>
          <w:lang w:eastAsia="zh-CN"/>
        </w:rPr>
        <w:t>湖南蔚恒再生资源有限公司</w:t>
      </w:r>
      <w:r>
        <w:rPr>
          <w:rStyle w:val="47"/>
          <w:rFonts w:hint="eastAsia" w:ascii="仿宋_GB2312" w:hAnsi="仿宋_GB2312" w:eastAsia="仿宋_GB2312" w:cs="仿宋_GB2312"/>
          <w:color w:val="auto"/>
          <w:sz w:val="32"/>
          <w:szCs w:val="32"/>
        </w:rPr>
        <w:t>：</w:t>
      </w:r>
    </w:p>
    <w:p w14:paraId="6B87833E">
      <w:pPr>
        <w:keepNext w:val="0"/>
        <w:keepLines w:val="0"/>
        <w:pageBreakBefore w:val="0"/>
        <w:widowControl/>
        <w:kinsoku/>
        <w:wordWrap/>
        <w:overflowPunct/>
        <w:topLinePunct w:val="0"/>
        <w:autoSpaceDE/>
        <w:autoSpaceDN/>
        <w:bidi w:val="0"/>
        <w:spacing w:line="580" w:lineRule="exact"/>
        <w:ind w:firstLine="640" w:firstLineChars="200"/>
        <w:textAlignment w:val="auto"/>
        <w:rPr>
          <w:rStyle w:val="47"/>
          <w:rFonts w:hint="eastAsia" w:ascii="仿宋_GB2312" w:hAnsi="仿宋_GB2312" w:eastAsia="仿宋_GB2312" w:cs="仿宋_GB2312"/>
          <w:color w:val="auto"/>
          <w:sz w:val="32"/>
          <w:szCs w:val="32"/>
        </w:rPr>
      </w:pPr>
      <w:r>
        <w:rPr>
          <w:rStyle w:val="47"/>
          <w:rFonts w:hint="eastAsia" w:ascii="仿宋_GB2312" w:hAnsi="仿宋_GB2312" w:eastAsia="仿宋_GB2312" w:cs="仿宋_GB2312"/>
          <w:color w:val="auto"/>
          <w:sz w:val="32"/>
          <w:szCs w:val="32"/>
        </w:rPr>
        <w:t>你公司</w:t>
      </w:r>
      <w:r>
        <w:rPr>
          <w:rStyle w:val="47"/>
          <w:rFonts w:hint="eastAsia" w:ascii="仿宋_GB2312" w:hAnsi="仿宋_GB2312" w:eastAsia="仿宋_GB2312" w:cs="仿宋_GB2312"/>
          <w:color w:val="auto"/>
          <w:sz w:val="32"/>
          <w:szCs w:val="32"/>
          <w:lang w:eastAsia="zh-CN"/>
        </w:rPr>
        <w:t>报送</w:t>
      </w:r>
      <w:r>
        <w:rPr>
          <w:rStyle w:val="47"/>
          <w:rFonts w:hint="eastAsia" w:ascii="仿宋_GB2312" w:hAnsi="仿宋_GB2312" w:eastAsia="仿宋_GB2312" w:cs="仿宋_GB2312"/>
          <w:color w:val="auto"/>
          <w:sz w:val="32"/>
          <w:szCs w:val="32"/>
        </w:rPr>
        <w:t>的《</w:t>
      </w:r>
      <w:r>
        <w:rPr>
          <w:rStyle w:val="47"/>
          <w:rFonts w:hint="eastAsia" w:ascii="仿宋_GB2312" w:hAnsi="仿宋_GB2312" w:eastAsia="仿宋_GB2312" w:cs="仿宋_GB2312"/>
          <w:color w:val="auto"/>
          <w:sz w:val="32"/>
          <w:szCs w:val="32"/>
          <w:lang w:eastAsia="zh-CN"/>
        </w:rPr>
        <w:t>湖南蔚恒再生资源有限公司年拆解3万吨废电机、变压器、电表、发动机、压缩机、发电机、计量仪器仪表、控制屏、电流电压互感器、电线项目环境影响报告表</w:t>
      </w:r>
      <w:r>
        <w:rPr>
          <w:rStyle w:val="47"/>
          <w:rFonts w:hint="eastAsia" w:ascii="仿宋_GB2312" w:hAnsi="仿宋_GB2312" w:eastAsia="仿宋_GB2312" w:cs="仿宋_GB2312"/>
          <w:color w:val="auto"/>
          <w:sz w:val="32"/>
          <w:szCs w:val="32"/>
        </w:rPr>
        <w:t>》（报批稿）及专家组评审意见均已收悉，经研究，批复如下：</w:t>
      </w:r>
    </w:p>
    <w:p w14:paraId="4CEFBFE9">
      <w:pPr>
        <w:pStyle w:val="48"/>
        <w:keepNext w:val="0"/>
        <w:keepLines w:val="0"/>
        <w:pageBreakBefore w:val="0"/>
        <w:kinsoku/>
        <w:wordWrap/>
        <w:overflowPunct/>
        <w:topLinePunct w:val="0"/>
        <w:autoSpaceDE/>
        <w:autoSpaceDN/>
        <w:bidi w:val="0"/>
        <w:adjustRightInd w:val="0"/>
        <w:snapToGrid w:val="0"/>
        <w:spacing w:line="580" w:lineRule="exact"/>
        <w:ind w:firstLine="640"/>
        <w:textAlignment w:val="auto"/>
        <w:rPr>
          <w:rStyle w:val="47"/>
          <w:rFonts w:hint="eastAsia" w:ascii="仿宋_GB2312" w:hAnsi="仿宋_GB2312" w:eastAsia="仿宋_GB2312" w:cs="仿宋_GB2312"/>
          <w:color w:val="auto"/>
          <w:sz w:val="32"/>
          <w:szCs w:val="32"/>
        </w:rPr>
      </w:pPr>
      <w:r>
        <w:rPr>
          <w:rStyle w:val="47"/>
          <w:rFonts w:hint="eastAsia" w:ascii="仿宋_GB2312" w:hAnsi="仿宋_GB2312" w:eastAsia="仿宋_GB2312" w:cs="仿宋_GB2312"/>
          <w:color w:val="auto"/>
          <w:sz w:val="32"/>
          <w:szCs w:val="32"/>
        </w:rPr>
        <w:t>一、</w:t>
      </w:r>
      <w:r>
        <w:rPr>
          <w:rStyle w:val="47"/>
          <w:rFonts w:hint="eastAsia" w:ascii="仿宋_GB2312" w:hAnsi="仿宋_GB2312" w:eastAsia="仿宋_GB2312" w:cs="仿宋_GB2312"/>
          <w:color w:val="000000" w:themeColor="text1"/>
          <w:sz w:val="32"/>
          <w:szCs w:val="32"/>
          <w14:textFill>
            <w14:solidFill>
              <w14:schemeClr w14:val="tx1"/>
            </w14:solidFill>
          </w14:textFill>
        </w:rPr>
        <w:t>项目建设的主要内容。</w:t>
      </w:r>
      <w:r>
        <w:rPr>
          <w:rStyle w:val="47"/>
          <w:rFonts w:hint="eastAsia" w:ascii="仿宋_GB2312" w:hAnsi="仿宋_GB2312" w:eastAsia="仿宋_GB2312" w:cs="仿宋_GB2312"/>
          <w:color w:val="auto"/>
          <w:sz w:val="32"/>
          <w:szCs w:val="32"/>
          <w:lang w:eastAsia="zh-CN"/>
        </w:rPr>
        <w:t>湖南蔚恒再生资源有限公司</w:t>
      </w:r>
      <w:r>
        <w:rPr>
          <w:rStyle w:val="47"/>
          <w:rFonts w:hint="eastAsia" w:ascii="仿宋_GB2312" w:hAnsi="仿宋_GB2312" w:eastAsia="仿宋_GB2312" w:cs="仿宋_GB2312"/>
          <w:color w:val="auto"/>
          <w:sz w:val="32"/>
          <w:szCs w:val="32"/>
        </w:rPr>
        <w:t>拟投资200万元</w:t>
      </w:r>
      <w:r>
        <w:rPr>
          <w:rStyle w:val="47"/>
          <w:rFonts w:hint="eastAsia" w:ascii="仿宋_GB2312" w:hAnsi="仿宋_GB2312" w:eastAsia="仿宋_GB2312" w:cs="仿宋_GB2312"/>
          <w:color w:val="auto"/>
          <w:sz w:val="32"/>
          <w:szCs w:val="32"/>
          <w:lang w:val="en-US" w:eastAsia="zh-CN"/>
        </w:rPr>
        <w:t>租赁衡南高新技术产业开发区三塘片区原衡阳市蔚诚金属材料有限公司（该公司因整体搬迁已不再实施本项目）厂房</w:t>
      </w:r>
      <w:r>
        <w:rPr>
          <w:rStyle w:val="47"/>
          <w:rFonts w:hint="eastAsia" w:ascii="仿宋_GB2312" w:hAnsi="仿宋_GB2312" w:eastAsia="仿宋_GB2312" w:cs="仿宋_GB2312"/>
          <w:color w:val="auto"/>
          <w:sz w:val="32"/>
          <w:szCs w:val="32"/>
          <w:lang w:eastAsia="zh-CN"/>
        </w:rPr>
        <w:t>，</w:t>
      </w:r>
      <w:r>
        <w:rPr>
          <w:rStyle w:val="47"/>
          <w:rFonts w:hint="eastAsia" w:ascii="仿宋_GB2312" w:hAnsi="仿宋_GB2312" w:eastAsia="仿宋_GB2312" w:cs="仿宋_GB2312"/>
          <w:color w:val="auto"/>
          <w:sz w:val="32"/>
          <w:szCs w:val="32"/>
          <w:lang w:val="en-US" w:eastAsia="zh-CN"/>
        </w:rPr>
        <w:t>建设年拆解3万吨废电机、变压器、电表、发动机、压缩机、发电机、计量仪器仪表、控制屏、电流电压互感器、电线项目，</w:t>
      </w:r>
      <w:r>
        <w:rPr>
          <w:rStyle w:val="47"/>
          <w:rFonts w:hint="eastAsia" w:ascii="仿宋_GB2312" w:hAnsi="仿宋_GB2312" w:eastAsia="仿宋_GB2312" w:cs="仿宋_GB2312"/>
          <w:color w:val="auto"/>
          <w:sz w:val="32"/>
          <w:szCs w:val="32"/>
        </w:rPr>
        <w:t>占地面积</w:t>
      </w:r>
      <w:r>
        <w:rPr>
          <w:rFonts w:hint="eastAsia" w:ascii="仿宋_GB2312" w:hAnsi="仿宋_GB2312" w:eastAsia="仿宋_GB2312" w:cs="仿宋_GB2312"/>
          <w:color w:val="auto"/>
          <w:sz w:val="32"/>
          <w:szCs w:val="32"/>
          <w:lang w:val="en-US" w:eastAsia="zh-CN"/>
        </w:rPr>
        <w:t>3800</w:t>
      </w:r>
      <w:r>
        <w:rPr>
          <w:rStyle w:val="47"/>
          <w:rFonts w:hint="eastAsia" w:ascii="仿宋_GB2312" w:hAnsi="仿宋_GB2312" w:eastAsia="仿宋_GB2312" w:cs="仿宋_GB2312"/>
          <w:color w:val="auto"/>
          <w:sz w:val="32"/>
          <w:szCs w:val="32"/>
        </w:rPr>
        <w:t>m</w:t>
      </w:r>
      <w:r>
        <w:rPr>
          <w:rStyle w:val="47"/>
          <w:rFonts w:hint="eastAsia" w:ascii="仿宋_GB2312" w:hAnsi="仿宋_GB2312" w:eastAsia="仿宋_GB2312" w:cs="仿宋_GB2312"/>
          <w:color w:val="auto"/>
          <w:sz w:val="32"/>
          <w:szCs w:val="32"/>
          <w:vertAlign w:val="superscript"/>
        </w:rPr>
        <w:t>2</w:t>
      </w:r>
      <w:r>
        <w:rPr>
          <w:rStyle w:val="47"/>
          <w:rFonts w:hint="eastAsia" w:ascii="仿宋_GB2312" w:hAnsi="仿宋_GB2312" w:eastAsia="仿宋_GB2312" w:cs="仿宋_GB2312"/>
          <w:color w:val="auto"/>
          <w:sz w:val="32"/>
          <w:szCs w:val="32"/>
        </w:rPr>
        <w:t>。</w:t>
      </w:r>
      <w:r>
        <w:rPr>
          <w:rStyle w:val="47"/>
          <w:rFonts w:hint="eastAsia" w:ascii="仿宋_GB2312" w:hAnsi="仿宋_GB2312" w:eastAsia="仿宋_GB2312" w:cs="仿宋_GB2312"/>
          <w:color w:val="auto"/>
          <w:sz w:val="32"/>
          <w:szCs w:val="32"/>
          <w:lang w:val="en-US" w:eastAsia="zh-CN"/>
        </w:rPr>
        <w:t>主要设有生产车间、原料堆放区、成品堆放区以及辅助工程、公用工程、环保工程等配套设施。</w:t>
      </w:r>
      <w:r>
        <w:rPr>
          <w:rStyle w:val="47"/>
          <w:rFonts w:hint="eastAsia" w:ascii="仿宋_GB2312" w:hAnsi="仿宋_GB2312" w:eastAsia="仿宋_GB2312" w:cs="仿宋_GB2312"/>
          <w:color w:val="auto"/>
          <w:sz w:val="32"/>
          <w:szCs w:val="32"/>
          <w:lang w:eastAsia="zh-CN"/>
        </w:rPr>
        <w:t>项目主要是对回收的废电机、变压器、电表、发动机、压缩机、发电机、计量仪器仪表、控制屏、电流电压互感器、电线等进行拆解，将拆解产物分类收集后外售具备相应能力的单位资源化利用。</w:t>
      </w:r>
      <w:r>
        <w:rPr>
          <w:rStyle w:val="47"/>
          <w:rFonts w:hint="eastAsia" w:ascii="仿宋_GB2312" w:hAnsi="仿宋_GB2312" w:eastAsia="仿宋_GB2312" w:cs="仿宋_GB2312"/>
          <w:color w:val="auto"/>
          <w:sz w:val="32"/>
          <w:szCs w:val="32"/>
        </w:rPr>
        <w:t>该项目环境影响报告表提出的污染防治措施客观可行，从环保角度分析，同意该项目建设。</w:t>
      </w:r>
    </w:p>
    <w:p w14:paraId="56F89719">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rPr>
      </w:pPr>
      <w:r>
        <w:rPr>
          <w:rStyle w:val="47"/>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rPr>
        <w:t>在项目建设和运行中，必须严格执行环保法律法规，认真落实报告表提出的各项污染防治措施，并着重做好以下工作：</w:t>
      </w:r>
    </w:p>
    <w:p w14:paraId="3919A435">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Style w:val="47"/>
          <w:rFonts w:hint="eastAsia" w:ascii="仿宋_GB2312" w:hAnsi="仿宋_GB2312" w:eastAsia="仿宋_GB2312" w:cs="仿宋_GB2312"/>
          <w:color w:val="auto"/>
          <w:sz w:val="32"/>
          <w:szCs w:val="32"/>
          <w:lang w:eastAsia="zh-CN"/>
        </w:rPr>
      </w:pPr>
      <w:r>
        <w:rPr>
          <w:rStyle w:val="47"/>
          <w:rFonts w:hint="eastAsia" w:ascii="仿宋_GB2312" w:hAnsi="仿宋_GB2312" w:eastAsia="仿宋_GB2312" w:cs="仿宋_GB2312"/>
          <w:color w:val="auto"/>
          <w:sz w:val="32"/>
          <w:szCs w:val="32"/>
        </w:rPr>
        <w:t>（一）做好大气污染防治工作。</w:t>
      </w:r>
      <w:r>
        <w:rPr>
          <w:rStyle w:val="47"/>
          <w:rFonts w:hint="eastAsia" w:ascii="仿宋_GB2312" w:hAnsi="仿宋_GB2312" w:eastAsia="仿宋_GB2312" w:cs="仿宋_GB2312"/>
          <w:color w:val="auto"/>
          <w:sz w:val="32"/>
          <w:szCs w:val="32"/>
          <w:lang w:eastAsia="zh-CN"/>
        </w:rPr>
        <w:t>项目拆解切割工序中产生的粉尘采用移动式烟尘净化器进行处理后无组织</w:t>
      </w:r>
      <w:r>
        <w:rPr>
          <w:rStyle w:val="47"/>
          <w:rFonts w:hint="eastAsia" w:ascii="仿宋_GB2312" w:hAnsi="仿宋_GB2312" w:eastAsia="仿宋_GB2312" w:cs="仿宋_GB2312"/>
          <w:color w:val="auto"/>
          <w:sz w:val="32"/>
          <w:szCs w:val="32"/>
          <w:lang w:val="en-US" w:eastAsia="zh-CN"/>
        </w:rPr>
        <w:t>达标</w:t>
      </w:r>
      <w:r>
        <w:rPr>
          <w:rStyle w:val="47"/>
          <w:rFonts w:hint="eastAsia" w:ascii="仿宋_GB2312" w:hAnsi="仿宋_GB2312" w:eastAsia="仿宋_GB2312" w:cs="仿宋_GB2312"/>
          <w:color w:val="auto"/>
          <w:sz w:val="32"/>
          <w:szCs w:val="32"/>
          <w:lang w:eastAsia="zh-CN"/>
        </w:rPr>
        <w:t>排放；废油抽取废气和废油暂存废气通过加强工序管理、加强暂存间密闭等措施减少无组织逸散，</w:t>
      </w:r>
      <w:r>
        <w:rPr>
          <w:rStyle w:val="47"/>
          <w:rFonts w:hint="eastAsia" w:ascii="仿宋_GB2312" w:hAnsi="仿宋_GB2312" w:eastAsia="仿宋_GB2312" w:cs="仿宋_GB2312"/>
          <w:color w:val="auto"/>
          <w:sz w:val="32"/>
          <w:szCs w:val="32"/>
          <w:lang w:val="en-US" w:eastAsia="zh-CN"/>
        </w:rPr>
        <w:t>并达到</w:t>
      </w:r>
      <w:r>
        <w:rPr>
          <w:rStyle w:val="47"/>
          <w:rFonts w:hint="eastAsia" w:ascii="仿宋_GB2312" w:hAnsi="仿宋_GB2312" w:eastAsia="仿宋_GB2312" w:cs="仿宋_GB2312"/>
          <w:color w:val="auto"/>
          <w:sz w:val="32"/>
          <w:szCs w:val="32"/>
          <w:lang w:eastAsia="zh-CN"/>
        </w:rPr>
        <w:t>相关标准要求；食堂油烟废气</w:t>
      </w:r>
      <w:r>
        <w:rPr>
          <w:rStyle w:val="47"/>
          <w:rFonts w:hint="eastAsia" w:ascii="仿宋_GB2312" w:hAnsi="仿宋_GB2312" w:eastAsia="仿宋_GB2312" w:cs="仿宋_GB2312"/>
          <w:color w:val="auto"/>
          <w:sz w:val="32"/>
          <w:szCs w:val="32"/>
          <w:lang w:val="en-US" w:eastAsia="zh-CN"/>
        </w:rPr>
        <w:t>依托衡阳绿源再生资源回收有限公司处理，</w:t>
      </w:r>
      <w:r>
        <w:rPr>
          <w:rStyle w:val="47"/>
          <w:rFonts w:hint="eastAsia" w:ascii="仿宋_GB2312" w:hAnsi="仿宋_GB2312" w:eastAsia="仿宋_GB2312" w:cs="仿宋_GB2312"/>
          <w:color w:val="auto"/>
          <w:sz w:val="32"/>
          <w:szCs w:val="32"/>
          <w:lang w:eastAsia="zh-CN"/>
        </w:rPr>
        <w:t>通过专用管道于屋顶上空</w:t>
      </w:r>
      <w:r>
        <w:rPr>
          <w:rStyle w:val="47"/>
          <w:rFonts w:hint="eastAsia" w:ascii="仿宋_GB2312" w:hAnsi="仿宋_GB2312" w:eastAsia="仿宋_GB2312" w:cs="仿宋_GB2312"/>
          <w:color w:val="auto"/>
          <w:sz w:val="32"/>
          <w:szCs w:val="32"/>
          <w:lang w:val="en-US" w:eastAsia="zh-CN"/>
        </w:rPr>
        <w:t>达标</w:t>
      </w:r>
      <w:r>
        <w:rPr>
          <w:rStyle w:val="47"/>
          <w:rFonts w:hint="eastAsia" w:ascii="仿宋_GB2312" w:hAnsi="仿宋_GB2312" w:eastAsia="仿宋_GB2312" w:cs="仿宋_GB2312"/>
          <w:color w:val="auto"/>
          <w:sz w:val="32"/>
          <w:szCs w:val="32"/>
          <w:lang w:eastAsia="zh-CN"/>
        </w:rPr>
        <w:t>排放。</w:t>
      </w:r>
    </w:p>
    <w:p w14:paraId="6DFF2FAC">
      <w:pPr>
        <w:keepNext w:val="0"/>
        <w:keepLines w:val="0"/>
        <w:pageBreakBefore w:val="0"/>
        <w:kinsoku/>
        <w:wordWrap/>
        <w:overflowPunct/>
        <w:topLinePunct w:val="0"/>
        <w:autoSpaceDE/>
        <w:autoSpaceDN/>
        <w:bidi w:val="0"/>
        <w:spacing w:line="580" w:lineRule="exact"/>
        <w:ind w:firstLine="640" w:firstLineChars="200"/>
        <w:textAlignment w:val="auto"/>
        <w:rPr>
          <w:rStyle w:val="47"/>
          <w:rFonts w:hint="eastAsia" w:ascii="仿宋_GB2312" w:hAnsi="仿宋_GB2312" w:eastAsia="仿宋_GB2312" w:cs="仿宋_GB2312"/>
          <w:color w:val="auto"/>
          <w:sz w:val="32"/>
          <w:szCs w:val="32"/>
          <w:lang w:eastAsia="zh-CN"/>
        </w:rPr>
      </w:pPr>
      <w:bookmarkStart w:id="0" w:name="OLE_LINK1"/>
      <w:r>
        <w:rPr>
          <w:rStyle w:val="47"/>
          <w:rFonts w:hint="eastAsia" w:ascii="仿宋_GB2312" w:hAnsi="仿宋_GB2312" w:eastAsia="仿宋_GB2312" w:cs="仿宋_GB2312"/>
          <w:color w:val="auto"/>
          <w:sz w:val="32"/>
          <w:szCs w:val="32"/>
        </w:rPr>
        <w:t>（二）强化水污染防治措施。</w:t>
      </w:r>
      <w:bookmarkEnd w:id="0"/>
      <w:r>
        <w:rPr>
          <w:rStyle w:val="47"/>
          <w:rFonts w:hint="eastAsia" w:ascii="仿宋_GB2312" w:hAnsi="仿宋_GB2312" w:eastAsia="仿宋_GB2312" w:cs="仿宋_GB2312"/>
          <w:color w:val="auto"/>
          <w:sz w:val="32"/>
          <w:szCs w:val="32"/>
          <w:lang w:eastAsia="zh-CN"/>
        </w:rPr>
        <w:t>厂区内实行雨污分流，设雨水沟渠，初期雨水经隔油沉淀+油水分离器处理后达到《污水综合排放标准》（GB8978-1996）中三级标准后排入衡南县三塘镇污水处理厂；食堂废水采用隔油池隔油后与职工生活污水经化粪池处理达到《污水综合排放标准》（GB8978-1996）中三级标准后排入衡南县三塘镇污水处理厂。</w:t>
      </w:r>
    </w:p>
    <w:p w14:paraId="0B5E42C8">
      <w:pPr>
        <w:keepNext w:val="0"/>
        <w:keepLines w:val="0"/>
        <w:pageBreakBefore w:val="0"/>
        <w:kinsoku/>
        <w:wordWrap/>
        <w:overflowPunct/>
        <w:topLinePunct w:val="0"/>
        <w:autoSpaceDE/>
        <w:autoSpaceDN/>
        <w:bidi w:val="0"/>
        <w:spacing w:line="580" w:lineRule="exact"/>
        <w:ind w:firstLine="640" w:firstLineChars="200"/>
        <w:textAlignment w:val="auto"/>
        <w:rPr>
          <w:rStyle w:val="47"/>
          <w:rFonts w:hint="eastAsia" w:ascii="仿宋_GB2312" w:hAnsi="仿宋_GB2312" w:eastAsia="仿宋_GB2312" w:cs="仿宋_GB2312"/>
          <w:color w:val="auto"/>
          <w:sz w:val="32"/>
          <w:szCs w:val="32"/>
        </w:rPr>
      </w:pPr>
      <w:r>
        <w:rPr>
          <w:rStyle w:val="47"/>
          <w:rFonts w:hint="eastAsia" w:ascii="仿宋_GB2312" w:hAnsi="仿宋_GB2312" w:eastAsia="仿宋_GB2312" w:cs="仿宋_GB2312"/>
          <w:color w:val="auto"/>
          <w:sz w:val="32"/>
          <w:szCs w:val="32"/>
        </w:rPr>
        <w:t>（三）加强各类固废管理，并采取有效措施防止二次污染。 项目拆解废杂物（不含油）、移动式烟尘净化器收集的颗粒物、废显示屏、绝缘材料、废塑料外售综合利用；员工生活垃圾通过分类收集后交由当地环卫部门统一处置</w:t>
      </w:r>
      <w:r>
        <w:rPr>
          <w:rStyle w:val="47"/>
          <w:rFonts w:hint="eastAsia" w:ascii="仿宋_GB2312" w:hAnsi="仿宋_GB2312" w:eastAsia="仿宋_GB2312" w:cs="仿宋_GB2312"/>
          <w:color w:val="auto"/>
          <w:sz w:val="32"/>
          <w:szCs w:val="32"/>
          <w:lang w:eastAsia="zh-CN"/>
        </w:rPr>
        <w:t>；</w:t>
      </w:r>
      <w:r>
        <w:rPr>
          <w:rStyle w:val="47"/>
          <w:rFonts w:hint="eastAsia" w:ascii="仿宋_GB2312" w:hAnsi="仿宋_GB2312" w:eastAsia="仿宋_GB2312" w:cs="仿宋_GB2312"/>
          <w:color w:val="auto"/>
          <w:sz w:val="32"/>
          <w:szCs w:val="32"/>
        </w:rPr>
        <w:t>废矿物油、拆解废</w:t>
      </w:r>
      <w:bookmarkStart w:id="1" w:name="_GoBack"/>
      <w:bookmarkEnd w:id="1"/>
      <w:r>
        <w:rPr>
          <w:rStyle w:val="47"/>
          <w:rFonts w:hint="eastAsia" w:ascii="仿宋_GB2312" w:hAnsi="仿宋_GB2312" w:eastAsia="仿宋_GB2312" w:cs="仿宋_GB2312"/>
          <w:color w:val="auto"/>
          <w:sz w:val="32"/>
          <w:szCs w:val="32"/>
        </w:rPr>
        <w:t>杂物（含油）、废电路板、废含油抹布和手套、废铅蓄电池</w:t>
      </w:r>
      <w:r>
        <w:rPr>
          <w:rStyle w:val="47"/>
          <w:rFonts w:hint="eastAsia" w:ascii="仿宋_GB2312" w:hAnsi="仿宋_GB2312" w:eastAsia="仿宋_GB2312" w:cs="仿宋_GB2312"/>
          <w:color w:val="auto"/>
          <w:sz w:val="32"/>
          <w:szCs w:val="32"/>
          <w:lang w:eastAsia="zh-CN"/>
        </w:rPr>
        <w:t>、废含油锯木灰等</w:t>
      </w:r>
      <w:r>
        <w:rPr>
          <w:rStyle w:val="47"/>
          <w:rFonts w:hint="eastAsia" w:ascii="仿宋_GB2312" w:hAnsi="仿宋_GB2312" w:eastAsia="仿宋_GB2312" w:cs="仿宋_GB2312"/>
          <w:color w:val="auto"/>
          <w:sz w:val="32"/>
          <w:szCs w:val="32"/>
        </w:rPr>
        <w:t>危险废物，</w:t>
      </w:r>
      <w:r>
        <w:rPr>
          <w:rStyle w:val="47"/>
          <w:rFonts w:hint="eastAsia" w:ascii="仿宋_GB2312" w:hAnsi="仿宋_GB2312" w:eastAsia="仿宋_GB2312" w:cs="仿宋_GB2312"/>
          <w:color w:val="auto"/>
          <w:sz w:val="32"/>
          <w:szCs w:val="32"/>
          <w:lang w:eastAsia="zh-CN"/>
        </w:rPr>
        <w:t>经</w:t>
      </w:r>
      <w:r>
        <w:rPr>
          <w:rStyle w:val="47"/>
          <w:rFonts w:hint="eastAsia" w:ascii="仿宋_GB2312" w:hAnsi="仿宋_GB2312" w:eastAsia="仿宋_GB2312" w:cs="仿宋_GB2312"/>
          <w:color w:val="auto"/>
          <w:sz w:val="32"/>
          <w:szCs w:val="32"/>
        </w:rPr>
        <w:t>危废暂存间</w:t>
      </w:r>
      <w:r>
        <w:rPr>
          <w:rStyle w:val="47"/>
          <w:rFonts w:hint="eastAsia" w:ascii="仿宋_GB2312" w:hAnsi="仿宋_GB2312" w:eastAsia="仿宋_GB2312" w:cs="仿宋_GB2312"/>
          <w:color w:val="auto"/>
          <w:sz w:val="32"/>
          <w:szCs w:val="32"/>
          <w:lang w:eastAsia="zh-CN"/>
        </w:rPr>
        <w:t>暂存后</w:t>
      </w:r>
      <w:r>
        <w:rPr>
          <w:rStyle w:val="47"/>
          <w:rFonts w:hint="eastAsia" w:ascii="仿宋_GB2312" w:hAnsi="仿宋_GB2312" w:eastAsia="仿宋_GB2312" w:cs="仿宋_GB2312"/>
          <w:color w:val="auto"/>
          <w:sz w:val="32"/>
          <w:szCs w:val="32"/>
        </w:rPr>
        <w:t>，委托有</w:t>
      </w:r>
      <w:r>
        <w:rPr>
          <w:rStyle w:val="47"/>
          <w:rFonts w:hint="eastAsia" w:ascii="仿宋_GB2312" w:hAnsi="仿宋_GB2312" w:eastAsia="仿宋_GB2312" w:cs="仿宋_GB2312"/>
          <w:color w:val="auto"/>
          <w:sz w:val="32"/>
          <w:szCs w:val="32"/>
          <w:lang w:eastAsia="zh-CN"/>
        </w:rPr>
        <w:t>危废经营</w:t>
      </w:r>
      <w:r>
        <w:rPr>
          <w:rStyle w:val="47"/>
          <w:rFonts w:hint="eastAsia" w:ascii="仿宋_GB2312" w:hAnsi="仿宋_GB2312" w:eastAsia="仿宋_GB2312" w:cs="仿宋_GB2312"/>
          <w:color w:val="auto"/>
          <w:sz w:val="32"/>
          <w:szCs w:val="32"/>
        </w:rPr>
        <w:t>资质单位进行处置，并办理好危险废物转移手续。一般工业固废</w:t>
      </w:r>
      <w:r>
        <w:rPr>
          <w:rStyle w:val="47"/>
          <w:rFonts w:hint="eastAsia" w:ascii="仿宋_GB2312" w:hAnsi="仿宋_GB2312" w:eastAsia="仿宋_GB2312" w:cs="仿宋_GB2312"/>
          <w:color w:val="auto"/>
          <w:sz w:val="32"/>
          <w:szCs w:val="32"/>
          <w:lang w:val="en-US" w:eastAsia="zh-CN"/>
        </w:rPr>
        <w:t>暂存间按照</w:t>
      </w:r>
      <w:r>
        <w:rPr>
          <w:rStyle w:val="47"/>
          <w:rFonts w:hint="eastAsia" w:ascii="仿宋_GB2312" w:hAnsi="仿宋_GB2312" w:eastAsia="仿宋_GB2312" w:cs="仿宋_GB2312"/>
          <w:color w:val="auto"/>
          <w:sz w:val="32"/>
          <w:szCs w:val="32"/>
        </w:rPr>
        <w:t>《一般工业固体废物贮存和填埋污染控制标准》(GB18599-2020)</w:t>
      </w:r>
      <w:r>
        <w:rPr>
          <w:rStyle w:val="47"/>
          <w:rFonts w:hint="eastAsia" w:ascii="仿宋_GB2312" w:hAnsi="仿宋_GB2312" w:eastAsia="仿宋_GB2312" w:cs="仿宋_GB2312"/>
          <w:color w:val="auto"/>
          <w:sz w:val="32"/>
          <w:szCs w:val="32"/>
          <w:lang w:val="en-US" w:eastAsia="zh-CN"/>
        </w:rPr>
        <w:t>要求建设</w:t>
      </w:r>
      <w:r>
        <w:rPr>
          <w:rStyle w:val="47"/>
          <w:rFonts w:hint="eastAsia" w:ascii="仿宋_GB2312" w:hAnsi="仿宋_GB2312" w:eastAsia="仿宋_GB2312" w:cs="仿宋_GB2312"/>
          <w:color w:val="auto"/>
          <w:sz w:val="32"/>
          <w:szCs w:val="32"/>
        </w:rPr>
        <w:t>；危险废物</w:t>
      </w:r>
      <w:r>
        <w:rPr>
          <w:rStyle w:val="47"/>
          <w:rFonts w:hint="eastAsia" w:ascii="仿宋_GB2312" w:hAnsi="仿宋_GB2312" w:eastAsia="仿宋_GB2312" w:cs="仿宋_GB2312"/>
          <w:color w:val="auto"/>
          <w:sz w:val="32"/>
          <w:szCs w:val="32"/>
          <w:lang w:val="en-US" w:eastAsia="zh-CN"/>
        </w:rPr>
        <w:t>暂存间严格按照</w:t>
      </w:r>
      <w:r>
        <w:rPr>
          <w:rStyle w:val="47"/>
          <w:rFonts w:hint="eastAsia" w:ascii="仿宋_GB2312" w:hAnsi="仿宋_GB2312" w:eastAsia="仿宋_GB2312" w:cs="仿宋_GB2312"/>
          <w:color w:val="auto"/>
          <w:sz w:val="32"/>
          <w:szCs w:val="32"/>
        </w:rPr>
        <w:t>《危险废物贮存污染控制标准》（GB18597-2023）</w:t>
      </w:r>
      <w:r>
        <w:rPr>
          <w:rStyle w:val="47"/>
          <w:rFonts w:hint="eastAsia" w:ascii="仿宋_GB2312" w:hAnsi="仿宋_GB2312" w:eastAsia="仿宋_GB2312" w:cs="仿宋_GB2312"/>
          <w:color w:val="auto"/>
          <w:sz w:val="32"/>
          <w:szCs w:val="32"/>
          <w:lang w:val="en-US" w:eastAsia="zh-CN"/>
        </w:rPr>
        <w:t>要求建设</w:t>
      </w:r>
      <w:r>
        <w:rPr>
          <w:rStyle w:val="47"/>
          <w:rFonts w:hint="eastAsia" w:ascii="仿宋_GB2312" w:hAnsi="仿宋_GB2312" w:eastAsia="仿宋_GB2312" w:cs="仿宋_GB2312"/>
          <w:color w:val="auto"/>
          <w:sz w:val="32"/>
          <w:szCs w:val="32"/>
        </w:rPr>
        <w:t>。</w:t>
      </w:r>
    </w:p>
    <w:p w14:paraId="523D1617">
      <w:pPr>
        <w:keepNext w:val="0"/>
        <w:keepLines w:val="0"/>
        <w:pageBreakBefore w:val="0"/>
        <w:kinsoku/>
        <w:wordWrap/>
        <w:overflowPunct/>
        <w:topLinePunct w:val="0"/>
        <w:autoSpaceDE/>
        <w:autoSpaceDN/>
        <w:bidi w:val="0"/>
        <w:spacing w:line="580" w:lineRule="exact"/>
        <w:ind w:firstLine="640" w:firstLineChars="200"/>
        <w:textAlignment w:val="auto"/>
        <w:rPr>
          <w:rStyle w:val="47"/>
          <w:rFonts w:hint="eastAsia" w:ascii="仿宋_GB2312" w:hAnsi="仿宋_GB2312" w:eastAsia="仿宋_GB2312" w:cs="仿宋_GB2312"/>
          <w:color w:val="auto"/>
          <w:sz w:val="32"/>
          <w:szCs w:val="32"/>
        </w:rPr>
      </w:pPr>
      <w:r>
        <w:rPr>
          <w:rStyle w:val="47"/>
          <w:rFonts w:hint="eastAsia" w:ascii="仿宋_GB2312" w:hAnsi="仿宋_GB2312" w:eastAsia="仿宋_GB2312" w:cs="仿宋_GB2312"/>
          <w:color w:val="auto"/>
          <w:sz w:val="32"/>
          <w:szCs w:val="32"/>
        </w:rPr>
        <w:t>（四）做好噪声污染控制工作。项目生产设备噪声通过</w:t>
      </w:r>
      <w:r>
        <w:rPr>
          <w:rStyle w:val="47"/>
          <w:rFonts w:hint="eastAsia" w:ascii="仿宋_GB2312" w:hAnsi="仿宋_GB2312" w:eastAsia="仿宋_GB2312" w:cs="仿宋_GB2312"/>
          <w:color w:val="auto"/>
          <w:sz w:val="32"/>
          <w:szCs w:val="32"/>
          <w:lang w:val="en-US" w:eastAsia="zh-CN"/>
        </w:rPr>
        <w:t>厂房隔噪，</w:t>
      </w:r>
      <w:r>
        <w:rPr>
          <w:rStyle w:val="47"/>
          <w:rFonts w:hint="eastAsia" w:ascii="仿宋_GB2312" w:hAnsi="仿宋_GB2312" w:eastAsia="仿宋_GB2312" w:cs="仿宋_GB2312"/>
          <w:color w:val="auto"/>
          <w:sz w:val="32"/>
          <w:szCs w:val="32"/>
        </w:rPr>
        <w:t>选用低噪声设备，</w:t>
      </w:r>
      <w:r>
        <w:rPr>
          <w:rStyle w:val="47"/>
          <w:rFonts w:hint="eastAsia" w:ascii="仿宋_GB2312" w:hAnsi="仿宋_GB2312" w:eastAsia="仿宋_GB2312" w:cs="仿宋_GB2312"/>
          <w:color w:val="auto"/>
          <w:sz w:val="32"/>
          <w:szCs w:val="32"/>
          <w:lang w:val="en-US" w:eastAsia="zh-CN"/>
        </w:rPr>
        <w:t>采取消声减振并对设备</w:t>
      </w:r>
      <w:r>
        <w:rPr>
          <w:rStyle w:val="47"/>
          <w:rFonts w:hint="eastAsia" w:ascii="仿宋_GB2312" w:hAnsi="仿宋_GB2312" w:eastAsia="仿宋_GB2312" w:cs="仿宋_GB2312"/>
          <w:color w:val="auto"/>
          <w:sz w:val="32"/>
          <w:szCs w:val="32"/>
        </w:rPr>
        <w:t>合理布</w:t>
      </w:r>
      <w:r>
        <w:rPr>
          <w:rStyle w:val="47"/>
          <w:rFonts w:hint="eastAsia" w:ascii="仿宋_GB2312" w:hAnsi="仿宋_GB2312" w:eastAsia="仿宋_GB2312" w:cs="仿宋_GB2312"/>
          <w:color w:val="auto"/>
          <w:sz w:val="32"/>
          <w:szCs w:val="32"/>
          <w:lang w:val="en-US" w:eastAsia="zh-CN"/>
        </w:rPr>
        <w:t>置等措施，</w:t>
      </w:r>
      <w:r>
        <w:rPr>
          <w:rStyle w:val="47"/>
          <w:rFonts w:hint="eastAsia" w:ascii="仿宋_GB2312" w:hAnsi="仿宋_GB2312" w:eastAsia="仿宋_GB2312" w:cs="仿宋_GB2312"/>
          <w:color w:val="auto"/>
          <w:sz w:val="32"/>
          <w:szCs w:val="32"/>
        </w:rPr>
        <w:t>确保营运期噪声厂界噪声</w:t>
      </w:r>
      <w:r>
        <w:rPr>
          <w:rStyle w:val="47"/>
          <w:rFonts w:hint="eastAsia" w:ascii="仿宋_GB2312" w:hAnsi="仿宋_GB2312" w:eastAsia="仿宋_GB2312" w:cs="仿宋_GB2312"/>
          <w:color w:val="auto"/>
          <w:sz w:val="32"/>
          <w:szCs w:val="32"/>
          <w:lang w:val="en-US" w:eastAsia="zh-CN"/>
        </w:rPr>
        <w:t>达到</w:t>
      </w:r>
      <w:r>
        <w:rPr>
          <w:rStyle w:val="47"/>
          <w:rFonts w:hint="eastAsia" w:ascii="仿宋_GB2312" w:hAnsi="仿宋_GB2312" w:eastAsia="仿宋_GB2312" w:cs="仿宋_GB2312"/>
          <w:color w:val="auto"/>
          <w:sz w:val="32"/>
          <w:szCs w:val="32"/>
        </w:rPr>
        <w:t>《工业企业厂界环境噪声排放标准》(GB12348-2008)中的3类标准限值要求。</w:t>
      </w:r>
    </w:p>
    <w:p w14:paraId="38CB2AB8">
      <w:pPr>
        <w:keepNext w:val="0"/>
        <w:keepLines w:val="0"/>
        <w:pageBreakBefore w:val="0"/>
        <w:kinsoku/>
        <w:wordWrap/>
        <w:overflowPunct/>
        <w:topLinePunct w:val="0"/>
        <w:autoSpaceDE/>
        <w:autoSpaceDN/>
        <w:bidi w:val="0"/>
        <w:spacing w:line="580" w:lineRule="exact"/>
        <w:ind w:firstLine="640" w:firstLineChars="200"/>
        <w:textAlignment w:val="auto"/>
        <w:rPr>
          <w:rStyle w:val="47"/>
          <w:rFonts w:hint="eastAsia" w:ascii="仿宋_GB2312" w:hAnsi="仿宋_GB2312" w:eastAsia="仿宋_GB2312" w:cs="仿宋_GB2312"/>
          <w:color w:val="auto"/>
          <w:sz w:val="32"/>
          <w:szCs w:val="32"/>
        </w:rPr>
      </w:pPr>
      <w:r>
        <w:rPr>
          <w:rStyle w:val="47"/>
          <w:rFonts w:hint="eastAsia" w:ascii="仿宋_GB2312" w:hAnsi="仿宋_GB2312" w:eastAsia="仿宋_GB2312" w:cs="仿宋_GB2312"/>
          <w:color w:val="auto"/>
          <w:sz w:val="32"/>
          <w:szCs w:val="32"/>
        </w:rPr>
        <w:t>三、加强日常环境管理。建设单位应安排专职环保管理人员，建立健全环境管理制度，制定有效的风险防范措施和应急预案，防止发生环境风险事故。</w:t>
      </w:r>
    </w:p>
    <w:p w14:paraId="2250C342">
      <w:pPr>
        <w:keepNext w:val="0"/>
        <w:keepLines w:val="0"/>
        <w:pageBreakBefore w:val="0"/>
        <w:kinsoku/>
        <w:wordWrap/>
        <w:overflowPunct/>
        <w:topLinePunct w:val="0"/>
        <w:autoSpaceDE/>
        <w:autoSpaceDN/>
        <w:bidi w:val="0"/>
        <w:spacing w:line="580" w:lineRule="exact"/>
        <w:ind w:firstLine="640" w:firstLineChars="200"/>
        <w:textAlignment w:val="auto"/>
        <w:rPr>
          <w:rStyle w:val="47"/>
          <w:rFonts w:hint="eastAsia" w:ascii="仿宋_GB2312" w:hAnsi="仿宋_GB2312" w:eastAsia="仿宋_GB2312" w:cs="仿宋_GB2312"/>
          <w:color w:val="auto"/>
          <w:sz w:val="32"/>
          <w:szCs w:val="32"/>
        </w:rPr>
      </w:pPr>
      <w:r>
        <w:rPr>
          <w:rStyle w:val="47"/>
          <w:rFonts w:hint="eastAsia" w:ascii="仿宋_GB2312" w:hAnsi="仿宋_GB2312" w:eastAsia="仿宋_GB2312" w:cs="仿宋_GB2312"/>
          <w:color w:val="auto"/>
          <w:sz w:val="32"/>
          <w:szCs w:val="32"/>
        </w:rPr>
        <w:t>四、项目竣工后，</w:t>
      </w:r>
      <w:r>
        <w:rPr>
          <w:rStyle w:val="47"/>
          <w:rFonts w:hint="eastAsia" w:ascii="仿宋_GB2312" w:hAnsi="仿宋_GB2312" w:eastAsia="仿宋_GB2312" w:cs="仿宋_GB2312"/>
          <w:color w:val="auto"/>
          <w:sz w:val="32"/>
          <w:szCs w:val="32"/>
          <w:lang w:eastAsia="zh-CN"/>
        </w:rPr>
        <w:t>必须严格执行排污许可制度</w:t>
      </w:r>
      <w:r>
        <w:rPr>
          <w:rStyle w:val="47"/>
          <w:rFonts w:hint="eastAsia" w:ascii="仿宋_GB2312" w:hAnsi="仿宋_GB2312" w:eastAsia="仿宋_GB2312" w:cs="仿宋_GB2312"/>
          <w:color w:val="auto"/>
          <w:sz w:val="32"/>
          <w:szCs w:val="32"/>
          <w:lang w:val="en-US" w:eastAsia="zh-CN"/>
        </w:rPr>
        <w:t>,在发生实际排污行为前按照国家有关规定申领排污许可证。同时，</w:t>
      </w:r>
      <w:r>
        <w:rPr>
          <w:rStyle w:val="47"/>
          <w:rFonts w:hint="eastAsia" w:ascii="仿宋_GB2312" w:hAnsi="仿宋_GB2312" w:eastAsia="仿宋_GB2312" w:cs="仿宋_GB2312"/>
          <w:color w:val="auto"/>
          <w:sz w:val="32"/>
          <w:szCs w:val="32"/>
        </w:rPr>
        <w:t>按照相关规定要求做好环保竣工验收工作，并主动接受衡南生态环境综合行政执法大队监管。如项目性质、规模、地点、采用的工艺及污染防治措施等发生重大变动，建设单位应当依法重新报批该项目的环境影响评价文件。</w:t>
      </w:r>
    </w:p>
    <w:p w14:paraId="773D041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47"/>
          <w:rFonts w:hint="eastAsia" w:ascii="仿宋_GB2312" w:hAnsi="仿宋_GB2312" w:eastAsia="仿宋_GB2312" w:cs="仿宋_GB2312"/>
          <w:color w:val="auto"/>
          <w:sz w:val="32"/>
          <w:szCs w:val="32"/>
        </w:rPr>
      </w:pPr>
      <w:r>
        <w:rPr>
          <w:rStyle w:val="47"/>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p>
    <w:p w14:paraId="07353EF9">
      <w:pPr>
        <w:keepNext w:val="0"/>
        <w:keepLines w:val="0"/>
        <w:pageBreakBefore w:val="0"/>
        <w:widowControl w:val="0"/>
        <w:kinsoku/>
        <w:wordWrap/>
        <w:overflowPunct/>
        <w:topLinePunct w:val="0"/>
        <w:autoSpaceDE/>
        <w:autoSpaceDN/>
        <w:bidi w:val="0"/>
        <w:adjustRightInd w:val="0"/>
        <w:snapToGrid w:val="0"/>
        <w:spacing w:before="157" w:beforeLines="50" w:line="560" w:lineRule="exact"/>
        <w:jc w:val="right"/>
        <w:textAlignment w:val="auto"/>
        <w:rPr>
          <w:rFonts w:hint="eastAsia" w:ascii="仿宋_GB2312" w:hAnsi="仿宋_GB2312" w:eastAsia="仿宋_GB2312" w:cs="仿宋_GB2312"/>
          <w:color w:val="auto"/>
          <w:sz w:val="32"/>
          <w:szCs w:val="32"/>
        </w:rPr>
      </w:pPr>
      <w:r>
        <w:rPr>
          <w:rStyle w:val="47"/>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 xml:space="preserve">        衡阳市生态环境局</w:t>
      </w:r>
    </w:p>
    <w:p w14:paraId="392E8431">
      <w:pPr>
        <w:keepNext w:val="0"/>
        <w:keepLines w:val="0"/>
        <w:pageBreakBefore w:val="0"/>
        <w:kinsoku/>
        <w:wordWrap/>
        <w:overflowPunct/>
        <w:topLinePunct w:val="0"/>
        <w:autoSpaceDE/>
        <w:autoSpaceDN/>
        <w:bidi w:val="0"/>
        <w:spacing w:line="56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2024年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日</w:t>
      </w:r>
    </w:p>
    <w:sectPr>
      <w:footerReference r:id="rId3" w:type="default"/>
      <w:pgSz w:w="11906" w:h="16838"/>
      <w:pgMar w:top="1440" w:right="1701" w:bottom="1701"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546A9">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2D096F">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72D096F">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E4CA2"/>
    <w:multiLevelType w:val="singleLevel"/>
    <w:tmpl w:val="A51E4CA2"/>
    <w:lvl w:ilvl="0" w:tentative="0">
      <w:start w:val="1"/>
      <w:numFmt w:val="decimal"/>
      <w:pStyle w:val="46"/>
      <w:suff w:val="nothing"/>
      <w:lvlText w:val="%1、"/>
      <w:lvlJc w:val="left"/>
    </w:lvl>
  </w:abstractNum>
  <w:abstractNum w:abstractNumId="1">
    <w:nsid w:val="0000000C"/>
    <w:multiLevelType w:val="singleLevel"/>
    <w:tmpl w:val="0000000C"/>
    <w:lvl w:ilvl="0" w:tentative="0">
      <w:start w:val="1"/>
      <w:numFmt w:val="bullet"/>
      <w:pStyle w:val="14"/>
      <w:lvlText w:val=""/>
      <w:lvlJc w:val="left"/>
      <w:pPr>
        <w:tabs>
          <w:tab w:val="left" w:pos="2040"/>
        </w:tabs>
        <w:ind w:left="2040" w:hanging="360"/>
      </w:pPr>
      <w:rPr>
        <w:rFonts w:hint="default" w:ascii="Wingdings" w:hAnsi="Wingdings"/>
      </w:rPr>
    </w:lvl>
  </w:abstractNum>
  <w:abstractNum w:abstractNumId="2">
    <w:nsid w:val="1ECBA01E"/>
    <w:multiLevelType w:val="multilevel"/>
    <w:tmpl w:val="1ECBA01E"/>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Restart w:val="1"/>
      <w:lvlText w:val="表%1-%5 "/>
      <w:lvlJc w:val="left"/>
      <w:pPr>
        <w:ind w:left="1008" w:hanging="1008"/>
      </w:pPr>
      <w:rPr>
        <w:rFonts w:hint="default" w:ascii="宋体" w:hAnsi="宋体" w:eastAsia="宋体" w:cs="宋体"/>
      </w:rPr>
    </w:lvl>
    <w:lvl w:ilvl="5" w:tentative="0">
      <w:start w:val="1"/>
      <w:numFmt w:val="decimal"/>
      <w:pStyle w:val="8"/>
      <w:lvlText w:val="图%1-%6 "/>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ODBhMDA3YzA5NzNlY2UwY2ZkOWEwNzgxMjAzNzYifQ=="/>
  </w:docVars>
  <w:rsids>
    <w:rsidRoot w:val="006013A8"/>
    <w:rsid w:val="00235E53"/>
    <w:rsid w:val="00283568"/>
    <w:rsid w:val="002F6FD1"/>
    <w:rsid w:val="004B23E3"/>
    <w:rsid w:val="005D2EA4"/>
    <w:rsid w:val="006013A8"/>
    <w:rsid w:val="0079429C"/>
    <w:rsid w:val="00796200"/>
    <w:rsid w:val="007B4753"/>
    <w:rsid w:val="007F0C19"/>
    <w:rsid w:val="00862629"/>
    <w:rsid w:val="009A0971"/>
    <w:rsid w:val="00DE40FF"/>
    <w:rsid w:val="00E530A6"/>
    <w:rsid w:val="00F35EC2"/>
    <w:rsid w:val="01B12980"/>
    <w:rsid w:val="07FC0390"/>
    <w:rsid w:val="0CC979BE"/>
    <w:rsid w:val="10887908"/>
    <w:rsid w:val="12B16D22"/>
    <w:rsid w:val="1C053D3A"/>
    <w:rsid w:val="1ED11A65"/>
    <w:rsid w:val="2A2313B0"/>
    <w:rsid w:val="2B96058E"/>
    <w:rsid w:val="2E837EE4"/>
    <w:rsid w:val="34BD3B5F"/>
    <w:rsid w:val="3A4F2C33"/>
    <w:rsid w:val="3D0E1754"/>
    <w:rsid w:val="3F3F2B0B"/>
    <w:rsid w:val="40266A11"/>
    <w:rsid w:val="43C1117B"/>
    <w:rsid w:val="50EB3DFB"/>
    <w:rsid w:val="550B2446"/>
    <w:rsid w:val="574A6804"/>
    <w:rsid w:val="5A355835"/>
    <w:rsid w:val="63A236FB"/>
    <w:rsid w:val="70E20F08"/>
    <w:rsid w:val="758535B9"/>
    <w:rsid w:val="7770369F"/>
    <w:rsid w:val="7A1735EC"/>
    <w:rsid w:val="7A3A13B3"/>
    <w:rsid w:val="7F5E3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5"/>
    <w:qFormat/>
    <w:uiPriority w:val="0"/>
    <w:pPr>
      <w:keepNext/>
      <w:keepLines/>
      <w:spacing w:line="360" w:lineRule="auto"/>
      <w:jc w:val="left"/>
      <w:outlineLvl w:val="0"/>
    </w:pPr>
    <w:rPr>
      <w:rFonts w:ascii="Times New Roman" w:hAnsi="Times New Roman" w:eastAsia="宋体" w:cs="Times New Roman"/>
      <w:b/>
      <w:bCs/>
      <w:kern w:val="44"/>
      <w:sz w:val="30"/>
      <w:szCs w:val="44"/>
    </w:rPr>
  </w:style>
  <w:style w:type="paragraph" w:styleId="4">
    <w:name w:val="heading 2"/>
    <w:basedOn w:val="1"/>
    <w:next w:val="1"/>
    <w:link w:val="32"/>
    <w:unhideWhenUsed/>
    <w:qFormat/>
    <w:uiPriority w:val="0"/>
    <w:pPr>
      <w:keepLines/>
      <w:spacing w:line="413" w:lineRule="auto"/>
      <w:jc w:val="left"/>
      <w:outlineLvl w:val="1"/>
    </w:pPr>
    <w:rPr>
      <w:rFonts w:ascii="Times New Roman" w:hAnsi="Times New Roman" w:eastAsia="宋体" w:cs="Times New Roman"/>
      <w:b/>
      <w:sz w:val="28"/>
      <w:szCs w:val="22"/>
    </w:rPr>
  </w:style>
  <w:style w:type="paragraph" w:styleId="5">
    <w:name w:val="heading 3"/>
    <w:basedOn w:val="1"/>
    <w:next w:val="1"/>
    <w:link w:val="35"/>
    <w:unhideWhenUsed/>
    <w:qFormat/>
    <w:uiPriority w:val="0"/>
    <w:pPr>
      <w:keepNext/>
      <w:keepLines/>
      <w:jc w:val="left"/>
      <w:outlineLvl w:val="2"/>
    </w:pPr>
    <w:rPr>
      <w:rFonts w:ascii="Times New Roman" w:hAnsi="Times New Roman" w:eastAsia="宋体" w:cs="Times New Roman"/>
      <w:b/>
      <w:sz w:val="24"/>
      <w:szCs w:val="22"/>
    </w:rPr>
  </w:style>
  <w:style w:type="paragraph" w:styleId="6">
    <w:name w:val="heading 4"/>
    <w:basedOn w:val="1"/>
    <w:next w:val="1"/>
    <w:unhideWhenUsed/>
    <w:qFormat/>
    <w:uiPriority w:val="0"/>
    <w:pPr>
      <w:keepNext/>
      <w:keepLines/>
      <w:spacing w:before="140" w:after="140"/>
      <w:ind w:left="864" w:hanging="864"/>
      <w:jc w:val="left"/>
      <w:outlineLvl w:val="3"/>
    </w:pPr>
    <w:rPr>
      <w:rFonts w:ascii="Times New Roman" w:hAnsi="Times New Roman" w:eastAsia="宋体"/>
      <w:b/>
      <w:sz w:val="24"/>
    </w:rPr>
  </w:style>
  <w:style w:type="paragraph" w:styleId="7">
    <w:name w:val="heading 5"/>
    <w:basedOn w:val="1"/>
    <w:next w:val="1"/>
    <w:unhideWhenUsed/>
    <w:qFormat/>
    <w:uiPriority w:val="0"/>
    <w:pPr>
      <w:keepNext/>
      <w:keepLines/>
      <w:spacing w:line="360" w:lineRule="auto"/>
      <w:ind w:firstLine="1044" w:firstLineChars="200"/>
      <w:jc w:val="left"/>
      <w:outlineLvl w:val="4"/>
    </w:pPr>
    <w:rPr>
      <w:rFonts w:ascii="Times New Roman" w:hAnsi="Times New Roman" w:eastAsia="宋体" w:cs="Times New Roman"/>
      <w:b/>
      <w:sz w:val="24"/>
    </w:rPr>
  </w:style>
  <w:style w:type="paragraph" w:styleId="8">
    <w:name w:val="heading 6"/>
    <w:basedOn w:val="1"/>
    <w:next w:val="1"/>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unhideWhenUsed/>
    <w:qFormat/>
    <w:uiPriority w:val="0"/>
    <w:pPr>
      <w:keepNext/>
      <w:keepLines/>
      <w:numPr>
        <w:ilvl w:val="6"/>
        <w:numId w:val="1"/>
      </w:numPr>
      <w:spacing w:before="240" w:after="64" w:line="317" w:lineRule="auto"/>
      <w:outlineLvl w:val="6"/>
    </w:pPr>
    <w:rPr>
      <w:b/>
      <w:sz w:val="24"/>
    </w:rPr>
  </w:style>
  <w:style w:type="paragraph" w:styleId="10">
    <w:name w:val="heading 8"/>
    <w:basedOn w:val="1"/>
    <w:next w:val="1"/>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0正文唐"/>
    <w:basedOn w:val="1"/>
    <w:link w:val="40"/>
    <w:qFormat/>
    <w:uiPriority w:val="0"/>
    <w:pPr>
      <w:spacing w:line="360" w:lineRule="auto"/>
      <w:ind w:firstLine="720" w:firstLineChars="200"/>
      <w:jc w:val="left"/>
    </w:pPr>
    <w:rPr>
      <w:rFonts w:ascii="Times New Roman" w:hAnsi="Times New Roman" w:eastAsia="宋体" w:cs="Times New Roman"/>
      <w:sz w:val="28"/>
    </w:rPr>
  </w:style>
  <w:style w:type="paragraph" w:styleId="12">
    <w:name w:val="Normal Indent"/>
    <w:basedOn w:val="1"/>
    <w:qFormat/>
    <w:uiPriority w:val="0"/>
    <w:pPr>
      <w:ind w:firstLine="420" w:firstLineChars="200"/>
    </w:pPr>
  </w:style>
  <w:style w:type="paragraph" w:styleId="13">
    <w:name w:val="Body Text"/>
    <w:basedOn w:val="1"/>
    <w:next w:val="14"/>
    <w:link w:val="33"/>
    <w:qFormat/>
    <w:uiPriority w:val="0"/>
    <w:pPr>
      <w:widowControl/>
      <w:snapToGrid w:val="0"/>
      <w:spacing w:line="260" w:lineRule="auto"/>
      <w:ind w:right="113"/>
    </w:pPr>
    <w:rPr>
      <w:rFonts w:ascii="Times New Roman" w:hAnsi="Times New Roman" w:eastAsia="宋体"/>
      <w:kern w:val="0"/>
      <w:sz w:val="18"/>
      <w:szCs w:val="20"/>
    </w:rPr>
  </w:style>
  <w:style w:type="paragraph" w:styleId="14">
    <w:name w:val="List Bullet 5"/>
    <w:basedOn w:val="1"/>
    <w:qFormat/>
    <w:uiPriority w:val="0"/>
    <w:pPr>
      <w:numPr>
        <w:ilvl w:val="0"/>
        <w:numId w:val="2"/>
      </w:numPr>
    </w:pPr>
  </w:style>
  <w:style w:type="paragraph" w:styleId="15">
    <w:name w:val="Body Text Indent"/>
    <w:basedOn w:val="1"/>
    <w:qFormat/>
    <w:uiPriority w:val="0"/>
    <w:pPr>
      <w:spacing w:after="120"/>
      <w:ind w:left="420" w:leftChars="200"/>
    </w:pPr>
  </w:style>
  <w:style w:type="paragraph" w:styleId="16">
    <w:name w:val="Body Text Indent 2"/>
    <w:basedOn w:val="1"/>
    <w:next w:val="1"/>
    <w:link w:val="37"/>
    <w:qFormat/>
    <w:uiPriority w:val="0"/>
    <w:pPr>
      <w:tabs>
        <w:tab w:val="left" w:pos="0"/>
      </w:tabs>
      <w:spacing w:line="360" w:lineRule="auto"/>
      <w:jc w:val="center"/>
    </w:pPr>
    <w:rPr>
      <w:rFonts w:ascii="Times New Roman" w:hAnsi="Times New Roman" w:eastAsia="宋体" w:cs="Times New Roman"/>
      <w:b/>
      <w:szCs w:val="22"/>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link w:val="39"/>
    <w:qFormat/>
    <w:uiPriority w:val="0"/>
    <w:pPr>
      <w:pBdr>
        <w:bottom w:val="single" w:color="auto" w:sz="6" w:space="1"/>
      </w:pBdr>
      <w:tabs>
        <w:tab w:val="center" w:pos="4153"/>
        <w:tab w:val="right" w:pos="8306"/>
      </w:tabs>
      <w:jc w:val="center"/>
    </w:pPr>
    <w:rPr>
      <w:rFonts w:ascii="Times New Roman" w:hAnsi="Times New Roman" w:eastAsia="宋体"/>
      <w:sz w:val="18"/>
      <w:szCs w:val="18"/>
    </w:rPr>
  </w:style>
  <w:style w:type="paragraph" w:styleId="19">
    <w:name w:val="table of figures"/>
    <w:basedOn w:val="1"/>
    <w:next w:val="1"/>
    <w:qFormat/>
    <w:uiPriority w:val="0"/>
    <w:pPr>
      <w:ind w:left="200" w:leftChars="200" w:hanging="200" w:hangingChars="200"/>
    </w:pPr>
  </w:style>
  <w:style w:type="paragraph" w:styleId="20">
    <w:name w:val="Title"/>
    <w:basedOn w:val="1"/>
    <w:qFormat/>
    <w:uiPriority w:val="0"/>
    <w:pPr>
      <w:spacing w:before="240" w:after="60"/>
      <w:jc w:val="center"/>
      <w:outlineLvl w:val="0"/>
    </w:pPr>
    <w:rPr>
      <w:rFonts w:ascii="Arial" w:hAnsi="Arial"/>
      <w:b/>
      <w:sz w:val="32"/>
    </w:rPr>
  </w:style>
  <w:style w:type="paragraph" w:styleId="21">
    <w:name w:val="Body Text First Indent 2"/>
    <w:basedOn w:val="15"/>
    <w:qFormat/>
    <w:uiPriority w:val="0"/>
    <w:pPr>
      <w:spacing w:line="360" w:lineRule="auto"/>
      <w:ind w:left="0" w:leftChars="0"/>
    </w:pPr>
    <w:rPr>
      <w:rFonts w:ascii="Times New Roman" w:hAnsi="Times New Roman" w:eastAsia="宋体"/>
    </w:rPr>
  </w:style>
  <w:style w:type="paragraph" w:customStyle="1" w:styleId="24">
    <w:name w:val="Default"/>
    <w:basedOn w:val="1"/>
    <w:next w:val="21"/>
    <w:qFormat/>
    <w:uiPriority w:val="0"/>
    <w:pPr>
      <w:autoSpaceDE w:val="0"/>
      <w:autoSpaceDN w:val="0"/>
      <w:adjustRightInd w:val="0"/>
      <w:spacing w:line="360" w:lineRule="auto"/>
    </w:pPr>
    <w:rPr>
      <w:rFonts w:hint="eastAsia" w:ascii="宋体" w:hAnsi="宋体" w:eastAsia="宋体"/>
      <w:color w:val="000000"/>
    </w:rPr>
  </w:style>
  <w:style w:type="character" w:customStyle="1" w:styleId="25">
    <w:name w:val="标题 1 Char"/>
    <w:link w:val="3"/>
    <w:qFormat/>
    <w:uiPriority w:val="99"/>
    <w:rPr>
      <w:rFonts w:ascii="Times New Roman" w:hAnsi="Times New Roman" w:eastAsia="宋体" w:cs="Times New Roman"/>
      <w:b/>
      <w:kern w:val="44"/>
      <w:sz w:val="30"/>
    </w:rPr>
  </w:style>
  <w:style w:type="paragraph" w:customStyle="1" w:styleId="26">
    <w:name w:val="正文5号"/>
    <w:basedOn w:val="1"/>
    <w:qFormat/>
    <w:uiPriority w:val="0"/>
    <w:pPr>
      <w:spacing w:line="360" w:lineRule="auto"/>
      <w:ind w:firstLine="422" w:firstLineChars="200"/>
    </w:pPr>
    <w:rPr>
      <w:rFonts w:ascii="Times New Roman" w:hAnsi="Times New Roman"/>
      <w:bCs/>
      <w:kern w:val="24"/>
      <w:szCs w:val="21"/>
    </w:rPr>
  </w:style>
  <w:style w:type="paragraph" w:customStyle="1" w:styleId="27">
    <w:name w:val="正文5号-缩进2"/>
    <w:basedOn w:val="1"/>
    <w:qFormat/>
    <w:uiPriority w:val="0"/>
    <w:pPr>
      <w:autoSpaceDE w:val="0"/>
      <w:autoSpaceDN w:val="0"/>
      <w:adjustRightInd w:val="0"/>
      <w:snapToGrid w:val="0"/>
      <w:spacing w:line="360" w:lineRule="auto"/>
      <w:ind w:firstLine="420" w:firstLineChars="200"/>
    </w:pPr>
    <w:rPr>
      <w:rFonts w:ascii="Times New Roman" w:hAnsi="Times New Roman" w:cs="宋体"/>
      <w:kern w:val="0"/>
      <w:szCs w:val="21"/>
    </w:rPr>
  </w:style>
  <w:style w:type="paragraph" w:customStyle="1" w:styleId="28">
    <w:name w:val="5号-缩进2"/>
    <w:basedOn w:val="1"/>
    <w:autoRedefine/>
    <w:qFormat/>
    <w:uiPriority w:val="0"/>
    <w:pPr>
      <w:autoSpaceDE w:val="0"/>
      <w:autoSpaceDN w:val="0"/>
      <w:adjustRightInd w:val="0"/>
      <w:snapToGrid w:val="0"/>
      <w:spacing w:line="360" w:lineRule="auto"/>
      <w:ind w:firstLine="420" w:firstLineChars="200"/>
    </w:pPr>
    <w:rPr>
      <w:rFonts w:ascii="Times New Roman" w:hAnsi="Times New Roman" w:eastAsia="宋体" w:cs="宋体"/>
      <w:kern w:val="0"/>
      <w:szCs w:val="21"/>
    </w:rPr>
  </w:style>
  <w:style w:type="paragraph" w:customStyle="1" w:styleId="29">
    <w:name w:val="5号居中"/>
    <w:basedOn w:val="1"/>
    <w:autoRedefine/>
    <w:qFormat/>
    <w:uiPriority w:val="0"/>
    <w:pPr>
      <w:adjustRightInd w:val="0"/>
      <w:snapToGrid w:val="0"/>
      <w:jc w:val="center"/>
    </w:pPr>
    <w:rPr>
      <w:rFonts w:ascii="Times New Roman" w:hAnsi="Times New Roman" w:cs="宋体"/>
      <w:szCs w:val="21"/>
    </w:rPr>
  </w:style>
  <w:style w:type="paragraph" w:customStyle="1" w:styleId="30">
    <w:name w:val="表头"/>
    <w:basedOn w:val="12"/>
    <w:next w:val="1"/>
    <w:autoRedefine/>
    <w:qFormat/>
    <w:uiPriority w:val="0"/>
    <w:pPr>
      <w:autoSpaceDE w:val="0"/>
      <w:autoSpaceDN w:val="0"/>
      <w:adjustRightInd w:val="0"/>
      <w:spacing w:before="50" w:beforeLines="50"/>
      <w:ind w:firstLine="0" w:firstLineChars="0"/>
      <w:jc w:val="center"/>
      <w:textAlignment w:val="baseline"/>
    </w:pPr>
    <w:rPr>
      <w:rFonts w:ascii="Times New Roman" w:hAnsi="Times New Roman" w:eastAsia="宋体" w:cs="Times New Roman"/>
      <w:b/>
      <w:color w:val="000000"/>
      <w:szCs w:val="21"/>
    </w:rPr>
  </w:style>
  <w:style w:type="paragraph" w:customStyle="1" w:styleId="31">
    <w:name w:val="表头5号"/>
    <w:basedOn w:val="1"/>
    <w:autoRedefine/>
    <w:qFormat/>
    <w:uiPriority w:val="0"/>
    <w:pPr>
      <w:spacing w:before="50" w:beforeLines="50"/>
      <w:jc w:val="center"/>
    </w:pPr>
    <w:rPr>
      <w:rFonts w:ascii="Times New Roman" w:hAnsi="Times New Roman" w:eastAsia="宋体" w:cs="Times New Roman"/>
      <w:b/>
      <w:bCs/>
      <w:szCs w:val="21"/>
      <w:lang w:bidi="en-US"/>
    </w:rPr>
  </w:style>
  <w:style w:type="character" w:customStyle="1" w:styleId="32">
    <w:name w:val="标题 2 Char"/>
    <w:link w:val="4"/>
    <w:autoRedefine/>
    <w:qFormat/>
    <w:uiPriority w:val="0"/>
    <w:rPr>
      <w:rFonts w:ascii="Times New Roman" w:hAnsi="Times New Roman" w:eastAsia="宋体" w:cs="Times New Roman"/>
      <w:b/>
      <w:sz w:val="28"/>
      <w:szCs w:val="22"/>
    </w:rPr>
  </w:style>
  <w:style w:type="character" w:customStyle="1" w:styleId="33">
    <w:name w:val="正文文本 Char"/>
    <w:link w:val="13"/>
    <w:autoRedefine/>
    <w:qFormat/>
    <w:locked/>
    <w:uiPriority w:val="0"/>
    <w:rPr>
      <w:rFonts w:ascii="Times New Roman" w:hAnsi="Times New Roman" w:eastAsia="宋体"/>
      <w:sz w:val="18"/>
    </w:rPr>
  </w:style>
  <w:style w:type="paragraph" w:customStyle="1" w:styleId="34">
    <w:name w:val="0正文"/>
    <w:basedOn w:val="1"/>
    <w:autoRedefine/>
    <w:qFormat/>
    <w:uiPriority w:val="0"/>
    <w:pPr>
      <w:spacing w:line="360" w:lineRule="auto"/>
      <w:ind w:firstLine="1040" w:firstLineChars="200"/>
    </w:pPr>
    <w:rPr>
      <w:rFonts w:ascii="Times New Roman" w:hAnsi="Times New Roman" w:cs="Times New Roman"/>
      <w:sz w:val="24"/>
    </w:rPr>
  </w:style>
  <w:style w:type="character" w:customStyle="1" w:styleId="35">
    <w:name w:val="标题 3 Char"/>
    <w:link w:val="5"/>
    <w:autoRedefine/>
    <w:qFormat/>
    <w:uiPriority w:val="0"/>
    <w:rPr>
      <w:rFonts w:ascii="Times New Roman" w:hAnsi="Times New Roman" w:eastAsia="宋体" w:cs="Times New Roman"/>
      <w:b/>
      <w:sz w:val="28"/>
      <w:szCs w:val="30"/>
    </w:rPr>
  </w:style>
  <w:style w:type="paragraph" w:customStyle="1" w:styleId="36">
    <w:name w:val="表 标题"/>
    <w:basedOn w:val="19"/>
    <w:autoRedefine/>
    <w:qFormat/>
    <w:uiPriority w:val="0"/>
    <w:pPr>
      <w:spacing w:before="50" w:beforeLines="50"/>
      <w:ind w:left="0" w:leftChars="0" w:firstLine="0" w:firstLineChars="0"/>
      <w:jc w:val="center"/>
    </w:pPr>
    <w:rPr>
      <w:rFonts w:ascii="Times New Roman" w:hAnsi="Times New Roman" w:eastAsia="宋体" w:cs="Times New Roman"/>
      <w:b/>
      <w:szCs w:val="20"/>
    </w:rPr>
  </w:style>
  <w:style w:type="character" w:customStyle="1" w:styleId="37">
    <w:name w:val="正文文本缩进 2 Char"/>
    <w:link w:val="16"/>
    <w:autoRedefine/>
    <w:qFormat/>
    <w:uiPriority w:val="0"/>
    <w:rPr>
      <w:rFonts w:ascii="Times New Roman" w:hAnsi="Times New Roman" w:eastAsia="宋体" w:cs="Times New Roman"/>
      <w:b/>
      <w:sz w:val="21"/>
      <w:szCs w:val="22"/>
    </w:rPr>
  </w:style>
  <w:style w:type="paragraph" w:customStyle="1" w:styleId="38">
    <w:name w:val="正  文"/>
    <w:autoRedefine/>
    <w:qFormat/>
    <w:uiPriority w:val="0"/>
    <w:pPr>
      <w:widowControl w:val="0"/>
      <w:spacing w:line="360" w:lineRule="auto"/>
      <w:ind w:firstLine="200" w:firstLineChars="200"/>
    </w:pPr>
    <w:rPr>
      <w:rFonts w:ascii="Times New Roman" w:hAnsi="Times New Roman" w:eastAsia="宋体" w:cs="Times New Roman"/>
      <w:kern w:val="2"/>
      <w:sz w:val="24"/>
      <w:szCs w:val="28"/>
      <w:lang w:val="en-US" w:eastAsia="zh-CN" w:bidi="ar-SA"/>
    </w:rPr>
  </w:style>
  <w:style w:type="character" w:customStyle="1" w:styleId="39">
    <w:name w:val="页眉 Char"/>
    <w:link w:val="18"/>
    <w:autoRedefine/>
    <w:qFormat/>
    <w:uiPriority w:val="99"/>
    <w:rPr>
      <w:rFonts w:ascii="Times New Roman" w:hAnsi="Times New Roman" w:eastAsia="宋体"/>
      <w:kern w:val="2"/>
      <w:sz w:val="18"/>
      <w:szCs w:val="18"/>
    </w:rPr>
  </w:style>
  <w:style w:type="character" w:customStyle="1" w:styleId="40">
    <w:name w:val="0正文唐 Char"/>
    <w:link w:val="2"/>
    <w:autoRedefine/>
    <w:qFormat/>
    <w:uiPriority w:val="0"/>
    <w:rPr>
      <w:rFonts w:ascii="Times New Roman" w:hAnsi="Times New Roman" w:eastAsia="宋体" w:cs="Times New Roman"/>
      <w:sz w:val="28"/>
    </w:rPr>
  </w:style>
  <w:style w:type="paragraph" w:customStyle="1" w:styleId="41">
    <w:name w:val="正文-唐"/>
    <w:basedOn w:val="2"/>
    <w:autoRedefine/>
    <w:qFormat/>
    <w:uiPriority w:val="0"/>
    <w:pPr>
      <w:ind w:firstLine="600"/>
    </w:pPr>
    <w:rPr>
      <w:szCs w:val="22"/>
    </w:rPr>
  </w:style>
  <w:style w:type="paragraph" w:customStyle="1" w:styleId="42">
    <w:name w:val="自编-正文"/>
    <w:basedOn w:val="1"/>
    <w:autoRedefine/>
    <w:qFormat/>
    <w:uiPriority w:val="0"/>
    <w:pPr>
      <w:spacing w:line="360" w:lineRule="auto"/>
      <w:ind w:firstLine="480" w:firstLineChars="200"/>
      <w:jc w:val="left"/>
    </w:pPr>
    <w:rPr>
      <w:rFonts w:ascii="Times New Roman" w:hAnsi="Times New Roman" w:eastAsia="宋体" w:cs="宋体"/>
      <w:sz w:val="24"/>
    </w:rPr>
  </w:style>
  <w:style w:type="paragraph" w:customStyle="1" w:styleId="43">
    <w:name w:val="报告正文"/>
    <w:basedOn w:val="1"/>
    <w:link w:val="44"/>
    <w:autoRedefine/>
    <w:qFormat/>
    <w:uiPriority w:val="0"/>
    <w:pPr>
      <w:spacing w:line="360" w:lineRule="auto"/>
      <w:textAlignment w:val="baseline"/>
    </w:pPr>
    <w:rPr>
      <w:rFonts w:ascii="Times New Roman" w:hAnsi="Times New Roman" w:eastAsia="宋体"/>
      <w:kern w:val="24"/>
      <w:sz w:val="24"/>
    </w:rPr>
  </w:style>
  <w:style w:type="character" w:customStyle="1" w:styleId="44">
    <w:name w:val="报告正文 Char"/>
    <w:link w:val="43"/>
    <w:autoRedefine/>
    <w:qFormat/>
    <w:uiPriority w:val="0"/>
    <w:rPr>
      <w:rFonts w:ascii="Times New Roman" w:hAnsi="Times New Roman" w:eastAsia="宋体"/>
      <w:kern w:val="24"/>
      <w:sz w:val="24"/>
      <w:szCs w:val="24"/>
    </w:rPr>
  </w:style>
  <w:style w:type="paragraph" w:customStyle="1" w:styleId="45">
    <w:name w:val="表内文字"/>
    <w:basedOn w:val="1"/>
    <w:autoRedefine/>
    <w:qFormat/>
    <w:uiPriority w:val="0"/>
    <w:pPr>
      <w:jc w:val="center"/>
    </w:pPr>
    <w:rPr>
      <w:rFonts w:ascii="Times New Roman" w:hAnsi="Times New Roman" w:eastAsia="宋体" w:cs="Times New Roman"/>
      <w:bCs/>
      <w:szCs w:val="21"/>
    </w:rPr>
  </w:style>
  <w:style w:type="paragraph" w:customStyle="1" w:styleId="46">
    <w:name w:val="0验收正文"/>
    <w:basedOn w:val="2"/>
    <w:next w:val="2"/>
    <w:autoRedefine/>
    <w:qFormat/>
    <w:uiPriority w:val="0"/>
    <w:pPr>
      <w:numPr>
        <w:ilvl w:val="0"/>
        <w:numId w:val="3"/>
      </w:numPr>
      <w:jc w:val="both"/>
    </w:pPr>
    <w:rPr>
      <w:bCs/>
    </w:rPr>
  </w:style>
  <w:style w:type="character" w:customStyle="1" w:styleId="47">
    <w:name w:val="content1"/>
    <w:basedOn w:val="23"/>
    <w:autoRedefine/>
    <w:qFormat/>
    <w:uiPriority w:val="0"/>
    <w:rPr>
      <w:color w:val="000000"/>
      <w:sz w:val="20"/>
      <w:szCs w:val="20"/>
    </w:rPr>
  </w:style>
  <w:style w:type="paragraph" w:customStyle="1" w:styleId="48">
    <w:name w:val="列出段落1"/>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3</Pages>
  <Words>1445</Words>
  <Characters>1518</Characters>
  <Lines>10</Lines>
  <Paragraphs>2</Paragraphs>
  <TotalTime>11</TotalTime>
  <ScaleCrop>false</ScaleCrop>
  <LinksUpToDate>false</LinksUpToDate>
  <CharactersWithSpaces>1633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2024-04-01T02:17:00Z</dcterms:created>
  <dc:creator>fm</dc:creator>
  <cp:lastModifiedBy>haiy(•̀⌄•́)</cp:lastModifiedBy>
  <cp:lastPrinted>2024-12-18T01:11:22Z</cp:lastPrinted>
  <dcterms:modified xsi:type="dcterms:W3CDTF">2024-12-18T01:11:36Z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4D1082A26634484A8738D44D40089B8B_13</vt:lpwstr>
  </property>
</Properties>
</file>