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sz w:val="84"/>
          <w:szCs w:val="84"/>
        </w:rPr>
      </w:pPr>
      <w:r>
        <w:rPr>
          <w:rFonts w:hint="eastAsia"/>
          <w:sz w:val="84"/>
          <w:szCs w:val="84"/>
        </w:rPr>
        <w:t>衡南县发展和改革局部门决算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widowControl/>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 单位概况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 xml:space="preserve">第二部分 </w:t>
      </w:r>
      <w:r>
        <w:rPr>
          <w:rFonts w:hAnsi="仿宋_GB2312"/>
          <w:b/>
          <w:sz w:val="28"/>
          <w:szCs w:val="28"/>
        </w:rPr>
        <w:t>2019</w:t>
      </w:r>
      <w:r>
        <w:rPr>
          <w:rFonts w:hint="eastAsia" w:hAnsi="仿宋_GB2312"/>
          <w:b/>
          <w:sz w:val="28"/>
          <w:szCs w:val="28"/>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ascii="仿宋_GB2312" w:hAnsi="仿宋_GB2312" w:cs="仿宋_GB2312"/>
          <w:b/>
          <w:sz w:val="28"/>
          <w:szCs w:val="28"/>
        </w:rPr>
      </w:pPr>
      <w:r>
        <w:rPr>
          <w:rFonts w:hint="eastAsia" w:hAnsi="仿宋_GB2312"/>
          <w:b/>
          <w:sz w:val="28"/>
          <w:szCs w:val="28"/>
        </w:rPr>
        <w:t xml:space="preserve">第三部分 </w:t>
      </w:r>
      <w:r>
        <w:rPr>
          <w:rFonts w:hAnsi="仿宋_GB2312"/>
          <w:b/>
          <w:sz w:val="28"/>
          <w:szCs w:val="28"/>
        </w:rPr>
        <w:t>2019</w:t>
      </w:r>
      <w:r>
        <w:rPr>
          <w:rFonts w:hint="eastAsia" w:hAnsi="仿宋_GB2312"/>
          <w:b/>
          <w:sz w:val="28"/>
          <w:szCs w:val="28"/>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pStyle w:val="2"/>
        <w:rPr>
          <w:rFonts w:hint="default"/>
          <w:sz w:val="72"/>
          <w:szCs w:val="72"/>
        </w:rPr>
      </w:pPr>
    </w:p>
    <w:p>
      <w:pPr>
        <w:pStyle w:val="2"/>
        <w:rPr>
          <w:rFonts w:hint="default"/>
          <w:sz w:val="72"/>
          <w:szCs w:val="72"/>
        </w:rPr>
      </w:pPr>
    </w:p>
    <w:p>
      <w:pPr>
        <w:pStyle w:val="11"/>
        <w:ind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b/>
          <w:bCs/>
          <w:sz w:val="32"/>
          <w:szCs w:val="32"/>
        </w:rPr>
      </w:pPr>
      <w:r>
        <w:rPr>
          <w:rFonts w:ascii="黑体" w:hAnsi="黑体" w:eastAsia="黑体"/>
          <w:b/>
          <w:bCs/>
          <w:sz w:val="32"/>
          <w:szCs w:val="32"/>
        </w:rPr>
        <w:t>部门职责</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衡南县发展和改革局是县政府工作部门，是综合研究拟定全县经济和社会发展政策，进行总量平衡，指导全县总体经济体制改革的宏观调控部门。主要职责有：</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（一）拟定并组织实施全县国民经济和社会发展战略、中长期规划和年度计划。</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（二）研究提出加快建设现代化经济体系、推动高质量发展的总体目标、重大任务及相关政策。</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（三）研究提出全县国民经济和社会发展主要目标，监测预测预警宏观经济和社会发展态势趋势，提出宏观调控政策建议，综合协调宏观经济政策，牵头研究宏观经济应对措施。</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（四）调节经济运行，协调解决经济运行中的重大问题。</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（五）研究提出和综合协调全县经济体制改革的建议与措施。</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（六）研究提出全县利用外资和境外投资的战略、规划、总量平衡和结构优化的政策。</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（七）负责投资综合管理，拟定全县全社会固定资产投资总规模和投资结构的调控目标、政策及措施。</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（八）推进落实区域协调发展战略、新型城镇化战略和重大政策，组织拟定相关区域规划和政策。</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（九）组织拟定综合性产业政策，负责协调第一、二、三产业发展的重大问题并统筹衔接相关发展规划和重大政策；推动实施创新驱动发展战略。</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（十）跟踪研判涉及经济安全、生态安全、资源安全、科技安全、社会安全等各类风险隐患，提出相关工作建议。</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（十一）负责社会发展与国民经济发展的政策衔接，组织拟定社会发展战略、总体规划。</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（十二）推进可持续发展战略，推动生态文明建设和改革，协调生态环境保护与修护、能源资源节约和综合利用等工作。</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（十三）负责能源规划与社会发展规划的协调衔接。</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（十四）拟定全县价格改革方案和年度计划，研究提出价格调控目标和政策建议，组织实施价格总水平调控。</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（十五）牵头组织监督公共资源交易活动；研究拟定推进社会信用体系建设的法规、规划、政策措施，统筹推动统一的社会信用信息平台建设，协调有关重大问题。</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（十六）会同有关部门拟定推进全县经济建设与国防建设协调发展。</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（十七）牵头承担县国防动员委员会、推进“一带一路”建设暨国际产能合作领导小组、县推动长江经济带发展领导小组、县促进中部地区崛起领导小组等有关具体工作。</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（十八）负责本行业领域职责范围内的应急管理工作，对本行业领域职责范围内的安全生产工作实施监督管理。</w:t>
      </w:r>
    </w:p>
    <w:p>
      <w:pPr>
        <w:ind w:firstLine="280" w:firstLineChars="100"/>
        <w:jc w:val="left"/>
        <w:rPr>
          <w:rFonts w:ascii="仿宋_GB2312" w:eastAsia="仿宋_GB2312" w:hAnsiTheme="minorEastAsia"/>
          <w:sz w:val="28"/>
          <w:szCs w:val="32"/>
        </w:rPr>
      </w:pPr>
      <w:r>
        <w:rPr>
          <w:rFonts w:hint="eastAsia" w:ascii="仿宋_GB2312" w:eastAsia="仿宋_GB2312" w:hAnsiTheme="minorEastAsia"/>
          <w:sz w:val="28"/>
          <w:szCs w:val="32"/>
        </w:rPr>
        <w:t>（十九）完成县委和县政府交办的其他任务。</w:t>
      </w:r>
    </w:p>
    <w:p>
      <w:pPr>
        <w:jc w:val="left"/>
        <w:rPr>
          <w:rFonts w:ascii="仿宋_GB2312" w:eastAsia="仿宋_GB2312" w:hAnsiTheme="minorEastAsia"/>
          <w:sz w:val="28"/>
          <w:szCs w:val="32"/>
        </w:rPr>
      </w:pPr>
    </w:p>
    <w:p>
      <w:pPr>
        <w:pStyle w:val="2"/>
        <w:rPr>
          <w:rFonts w:hint="default"/>
        </w:rPr>
      </w:pPr>
    </w:p>
    <w:p>
      <w:pPr>
        <w:widowControl/>
        <w:spacing w:line="600" w:lineRule="exact"/>
        <w:rPr>
          <w:rFonts w:ascii="黑体" w:hAnsi="黑体" w:eastAsia="黑体"/>
          <w:b/>
          <w:kern w:val="0"/>
          <w:sz w:val="32"/>
          <w:szCs w:val="32"/>
        </w:rPr>
      </w:pPr>
      <w:r>
        <w:rPr>
          <w:rFonts w:hint="eastAsia" w:ascii="黑体" w:hAnsi="黑体" w:eastAsia="黑体"/>
          <w:b/>
          <w:kern w:val="0"/>
          <w:sz w:val="32"/>
          <w:szCs w:val="32"/>
        </w:rPr>
        <w:t>二、机构设置及决算单位构成</w:t>
      </w:r>
    </w:p>
    <w:p>
      <w:pPr>
        <w:ind w:firstLine="281" w:firstLineChars="100"/>
        <w:jc w:val="left"/>
        <w:rPr>
          <w:rFonts w:ascii="仿宋_GB2312" w:eastAsia="仿宋_GB2312" w:hAnsiTheme="minorEastAsia"/>
          <w:b/>
          <w:bCs/>
          <w:sz w:val="28"/>
          <w:szCs w:val="32"/>
        </w:rPr>
      </w:pPr>
      <w:r>
        <w:rPr>
          <w:rFonts w:hint="eastAsia" w:ascii="仿宋_GB2312" w:eastAsia="仿宋_GB2312" w:hAnsiTheme="minorEastAsia"/>
          <w:b/>
          <w:bCs/>
          <w:sz w:val="28"/>
          <w:szCs w:val="32"/>
        </w:rPr>
        <w:t>（一）内设机构设置</w:t>
      </w:r>
    </w:p>
    <w:p>
      <w:pPr>
        <w:widowControl/>
        <w:spacing w:line="600" w:lineRule="exact"/>
        <w:ind w:firstLine="640" w:firstLineChars="200"/>
      </w:pPr>
      <w:r>
        <w:rPr>
          <w:rFonts w:hint="eastAsia" w:asciiTheme="minorEastAsia" w:hAnsiTheme="minorEastAsia"/>
          <w:bCs/>
          <w:kern w:val="0"/>
          <w:sz w:val="32"/>
          <w:szCs w:val="32"/>
        </w:rPr>
        <w:t>衡南县发展和改革局下设办公室（行政审批服务股）、固定资产投资股（国民经济综合和法规股）、农村经济股、工交能源和环保资源股（县“两型”社会建设办公室）、服务业股（财政金融和信用建设股）、社会发展股、价格调控管理股共七个股室。同时，下设县重点项目建设事务中心、价格认证中心、成本调查队三个非独立核算二级机构。</w:t>
      </w:r>
    </w:p>
    <w:p>
      <w:pPr>
        <w:ind w:firstLine="281" w:firstLineChars="100"/>
        <w:jc w:val="left"/>
        <w:rPr>
          <w:rFonts w:ascii="仿宋_GB2312" w:eastAsia="仿宋_GB2312" w:hAnsiTheme="minorEastAsia"/>
          <w:b/>
          <w:bCs/>
          <w:sz w:val="28"/>
          <w:szCs w:val="32"/>
        </w:rPr>
      </w:pPr>
      <w:r>
        <w:rPr>
          <w:rFonts w:hint="eastAsia" w:ascii="仿宋_GB2312" w:eastAsia="仿宋_GB2312" w:hAnsiTheme="minorEastAsia"/>
          <w:b/>
          <w:bCs/>
          <w:sz w:val="28"/>
          <w:szCs w:val="32"/>
        </w:rPr>
        <w:t>（二）决算单位构成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衡南县发展和改革局</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年部门决算汇总公开单位构成包括：衡南县发展和改革局本级以及衡南县重点项目建设事务中心、价格认证中心、成本调查队三个非独立核算二级机构。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rPr>
          <w:sz w:val="72"/>
          <w:szCs w:val="72"/>
        </w:rPr>
      </w:pPr>
    </w:p>
    <w:p>
      <w:pPr>
        <w:jc w:val="center"/>
        <w:rPr>
          <w:sz w:val="72"/>
          <w:szCs w:val="72"/>
        </w:rPr>
      </w:pPr>
    </w:p>
    <w:p>
      <w:pPr>
        <w:jc w:val="center"/>
        <w:rPr>
          <w:rFonts w:ascii="黑体" w:hAnsi="黑体" w:eastAsia="黑体"/>
          <w:sz w:val="84"/>
          <w:szCs w:val="84"/>
        </w:rPr>
      </w:pPr>
      <w:r>
        <w:rPr>
          <w:rFonts w:hint="eastAsia" w:ascii="黑体" w:hAnsi="黑体" w:eastAsia="黑体"/>
          <w:sz w:val="84"/>
          <w:szCs w:val="84"/>
        </w:rPr>
        <w:t>第二部分</w:t>
      </w:r>
    </w:p>
    <w:p>
      <w:pPr>
        <w:jc w:val="center"/>
        <w:rPr>
          <w:rFonts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部门决算表</w:t>
      </w:r>
    </w:p>
    <w:p>
      <w:pPr>
        <w:pStyle w:val="2"/>
        <w:rPr>
          <w:rFonts w:hint="default"/>
        </w:rPr>
        <w:sectPr>
          <w:pgSz w:w="11906" w:h="16838"/>
          <w:pgMar w:top="1440" w:right="1803" w:bottom="1440" w:left="1803" w:header="851" w:footer="992" w:gutter="0"/>
          <w:cols w:space="0" w:num="1"/>
          <w:docGrid w:type="lines" w:linePitch="317" w:charSpace="0"/>
        </w:sect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84"/>
          <w:szCs w:val="84"/>
        </w:rPr>
      </w:pPr>
      <w:r>
        <w:rPr>
          <w:rFonts w:hint="eastAsia"/>
          <w:sz w:val="84"/>
          <w:szCs w:val="84"/>
        </w:rPr>
        <w:t>2019年度部门决算</w:t>
      </w:r>
    </w:p>
    <w:p>
      <w:pPr>
        <w:pStyle w:val="10"/>
        <w:jc w:val="center"/>
        <w:rPr>
          <w:sz w:val="84"/>
          <w:szCs w:val="84"/>
        </w:rPr>
      </w:pPr>
      <w:r>
        <w:rPr>
          <w:rFonts w:hint="eastAsia"/>
          <w:sz w:val="84"/>
          <w:szCs w:val="84"/>
        </w:rPr>
        <w:t>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2019年度收入总计1046.13万元，较2018年增加23.42万元，增长2.29%，主要是上年未拨入的财政拨款预算收入在本年拨入时确认收入所致。2019年度支出总计903.50万元，较2018年减少118.41万元，减少11.59%，主要是本年结转结余资金年底尚未拨回，部分支出尚未支付未计入本年支出。</w:t>
      </w:r>
    </w:p>
    <w:p>
      <w:pPr>
        <w:pStyle w:val="10"/>
        <w:rPr>
          <w:rFonts w:hAnsi="黑体"/>
          <w:b/>
          <w:sz w:val="32"/>
          <w:szCs w:val="32"/>
        </w:rPr>
      </w:pPr>
      <w:r>
        <w:rPr>
          <w:rFonts w:hint="eastAsia" w:hAnsi="黑体"/>
          <w:b/>
          <w:sz w:val="32"/>
          <w:szCs w:val="32"/>
        </w:rPr>
        <w:t>二、收入决算情况说明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本年收入合计1046.13万元，其中：财政拨款收入1045.33万元，占99.92%；上年结转0.8万元，占0.08%。</w:t>
      </w:r>
    </w:p>
    <w:p>
      <w:pPr>
        <w:pStyle w:val="10"/>
        <w:rPr>
          <w:rFonts w:hAnsi="黑体"/>
          <w:b/>
          <w:sz w:val="32"/>
          <w:szCs w:val="32"/>
        </w:rPr>
      </w:pPr>
      <w:r>
        <w:rPr>
          <w:rFonts w:hint="eastAsia" w:hAnsi="黑体"/>
          <w:b/>
          <w:sz w:val="32"/>
          <w:szCs w:val="32"/>
        </w:rPr>
        <w:t>三、支出决算情况说明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本年支出合计903.50万元，其中：基本支出801.75万元，占88.74%；项目支出101.75万元，占11.26%；上缴上级支出0万元，占0%；经营支出0万元，占0%；对附属单位补助支出0万元，占0%。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cstheme="minorBidi"/>
          <w:bCs/>
          <w:color w:val="auto"/>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stheme="minorBidi"/>
          <w:bCs/>
          <w:color w:val="auto"/>
          <w:sz w:val="32"/>
          <w:szCs w:val="32"/>
        </w:rPr>
        <w:t xml:space="preserve"> 2019年度财政拨款收入总计1045.33万元，与2018年相比，增加149.77万元，增长16.72%，主要是上年未拨入的财政拨款预算收入在本年拨入时确认收入所致。2019年度财政拨款支出总计903.50万元，与2018年相比，增加7.94万元，增长0.89%，主要是对个人和家庭的补助支出有所增加。</w:t>
      </w:r>
    </w:p>
    <w:p>
      <w:pPr>
        <w:pStyle w:val="10"/>
        <w:rPr>
          <w:rFonts w:hAnsi="黑体"/>
          <w:b/>
          <w:sz w:val="32"/>
          <w:szCs w:val="32"/>
        </w:rPr>
      </w:pPr>
      <w:r>
        <w:rPr>
          <w:rFonts w:hint="eastAsia" w:hAnsi="黑体"/>
          <w:b/>
          <w:sz w:val="32"/>
          <w:szCs w:val="32"/>
        </w:rPr>
        <w:t>五、一般公共预算财政拨款支出决算情况说明</w:t>
      </w:r>
    </w:p>
    <w:p>
      <w:pPr>
        <w:ind w:firstLine="281" w:firstLineChars="100"/>
        <w:jc w:val="left"/>
        <w:rPr>
          <w:rFonts w:ascii="仿宋_GB2312" w:eastAsia="仿宋_GB2312" w:hAnsiTheme="minorEastAsia"/>
          <w:b/>
          <w:bCs/>
          <w:sz w:val="28"/>
          <w:szCs w:val="32"/>
        </w:rPr>
      </w:pPr>
      <w:r>
        <w:rPr>
          <w:rFonts w:hint="eastAsia" w:ascii="仿宋_GB2312" w:eastAsia="仿宋_GB2312" w:hAnsiTheme="minorEastAsia"/>
          <w:b/>
          <w:bCs/>
          <w:sz w:val="28"/>
          <w:szCs w:val="32"/>
        </w:rPr>
        <w:t>（一）财政拨款支出决算总体情况</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2019年度财政拨款支出903.50万元，占本年支出合计的100%，与2018年相比，财政拨款支出增加7.94万元，增长0.89%，主要是因为对个人和家庭的补助支出有所增加。</w:t>
      </w:r>
    </w:p>
    <w:p>
      <w:pPr>
        <w:ind w:firstLine="281" w:firstLineChars="100"/>
        <w:jc w:val="left"/>
        <w:rPr>
          <w:rFonts w:ascii="仿宋_GB2312" w:eastAsia="仿宋_GB2312" w:hAnsiTheme="minorEastAsia"/>
          <w:b/>
          <w:bCs/>
          <w:sz w:val="28"/>
          <w:szCs w:val="32"/>
        </w:rPr>
      </w:pPr>
      <w:r>
        <w:rPr>
          <w:rFonts w:hint="eastAsia" w:ascii="仿宋_GB2312" w:eastAsia="仿宋_GB2312" w:hAnsiTheme="minorEastAsia"/>
          <w:b/>
          <w:bCs/>
          <w:sz w:val="28"/>
          <w:szCs w:val="32"/>
        </w:rPr>
        <w:t>（二）财政拨款支出决算结构情况</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2019年度财政拨款支出903.5万元，主要用于以下方面：一般公共服务支出741.36万元，占82.05%；文化旅游体育与传媒支出2.29万元，占0.25%；社会保障和就业支出72.25万元，占8.0%；卫生健康支出25.87万元，占2.86%；城乡社区支出20万元，占2.21%；资源勘探信息等支出18万元，占1.99%；住房保障支出23.73万元，占2.64%；</w:t>
      </w:r>
    </w:p>
    <w:p>
      <w:pPr>
        <w:ind w:firstLine="281" w:firstLineChars="100"/>
        <w:jc w:val="left"/>
        <w:rPr>
          <w:rFonts w:ascii="仿宋_GB2312" w:eastAsia="仿宋_GB2312" w:hAnsiTheme="minorEastAsia"/>
          <w:b/>
          <w:bCs/>
          <w:sz w:val="28"/>
          <w:szCs w:val="32"/>
        </w:rPr>
      </w:pPr>
      <w:r>
        <w:rPr>
          <w:rFonts w:hint="eastAsia" w:ascii="仿宋_GB2312" w:eastAsia="仿宋_GB2312" w:hAnsiTheme="minorEastAsia"/>
          <w:b/>
          <w:bCs/>
          <w:sz w:val="28"/>
          <w:szCs w:val="32"/>
        </w:rPr>
        <w:t>（三）财政拨款支出决算具体情况</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2019年度财政拨款支出年初预算数为636.72万元，支出决算数为903.50万元，完成年初预算的141.90%，其中：</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1、一般公共服务（类）发展与改革事务（款）行政运行（项）。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年初预算为378.75万元，支出决算为470.91万元，完成年初预算的124.33%，决算数大于年初预算数的主要原因是：非全额编制人员部分基本工资、津补贴以及部分绩效考核奖、综治奖、文明创建奖等未纳入年初预算。</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2、一般公共服务（类）发展与改革事务（款）一般行政管理事务（项）。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年初预算为41.40万元，支出决算为41.40万元，完成年初预算的100%。</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3、一般公共服务（类）发展与改革事务（款）物价管理（项）。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33万元，支出决算为3.35万元，完成年初预算的10.15%，决算数小于年初预算数的主要原因是：因前期会计核算时未单独设置价格监测与服务、成本调查工作经费、价格监测调查经费、价格专项检查等项目进行核算，导致上述工作开支未归集至物价管理项目支出所致。</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4、一般公共服务（类）发展与改革事务（款）其他发展与改革事务（项）。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28万元，支出决算为185.04万元，完成年初预算的660.86%，决算数大于年初预算数的主要原因是：一是上年结转的项目经费未包含在年初预算内，二是前期会计核算未设置物价管理项目，部分开支也归集在此项目中进行核算，三是因争资引项工作需要追加了专项经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5、一般公共服务（类）财政事务（款）其他财政事务支出（项）。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年初预算为0万元，支出决算为40.65万元，决算数大于年初预算数的主要原因是：因上年度结转解决2018年产业项目建设年活动先进单位、先进个人奖励追加财政资金未在年初预算体现所致。</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6、文化旅游体育与传媒支出（类）文化和旅游（款）其他文化和旅游支出（项）。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年初预算为0万元，支出决算为2.29万元，决算数大于年初预算数的主要原因是：因上年度结转解决2018年新增1000亿粮食生产能力规划方案追加财政资金未在年初预算体现所致。</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7、社会保障和就业支出（类）行政事业单位离退休（款）机关事业单位基本养老保险缴费支出（项）。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年初预算为75.71万元，支出决算为65.62万元，完成年初预算的86.67%，决算数小于年初预算数的主要原因是：还有一部分养老保险支出体现在财政对城乡居民基本养老保险基金的补助中。</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8、社会保障和就业支出（类）抚恤（款）伤残抚恤（项）。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年初预算为0万元，支出决算为0.90万元，决算数大于年初预算数的主要原因是：伤残补助金未纳入年初预算所致。</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9、社会保障和就业支出（类）财政对基本养老保险基金的补助（款）财政对城乡居民基本养老保险基金的补助（项）。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年初预算为0万元，支出决算为5.73万元，决算数大于年初预算数的主要原因是：养老保险资金年初预算全部体现在机关事业单位基本养老保险缴费支出中。</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10、卫生健康支出（类）行政事业单位医疗（款）行政单位医疗（项）。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年初预算为21.39万元，支出决算为25.87万元，完成年初预算的120.94%，决算数大于年初预算数的主要原因是：非全额编制人员的部分医疗保险支出未纳入年初预算。</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11、城乡社区支出（类）城乡社区规划与管理（款）城乡社区规划与管理（项）。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年初预算为0万元，支出决算为20万元，决算数大于年初预算数的主要原因是：上年结转解决编制衡南县乡村振兴战略规划（2018-2022年）追加资金未体现在年初预算中。</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12、资源勘探信息等支出（类）支持中小企业发展和管理支出（款）其他支持中小企业发展和管理支出（项）。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年初预算为0万元，支出决算为18万元，决算数大于年初预算数的主要原因是：因解决2018年四上企业培育工作奖励资金需要追加资金所致。</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13、住房保障支出（类）住房改革支出（款）住房公积金（项）。</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年初预算为23.73万元，支出决算为23.73万元，完成年初预算的100%。</w:t>
      </w:r>
    </w:p>
    <w:p>
      <w:pPr>
        <w:widowControl/>
        <w:spacing w:line="600" w:lineRule="exact"/>
        <w:ind w:firstLine="640" w:firstLineChars="200"/>
        <w:rPr>
          <w:rFonts w:asciiTheme="minorEastAsia" w:hAnsiTheme="minorEastAsia"/>
          <w:bCs/>
          <w:kern w:val="0"/>
          <w:sz w:val="32"/>
          <w:szCs w:val="32"/>
        </w:rPr>
      </w:pP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六、一般公共预算财政拨款基本支出决算情况说明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2019年度财政拨款基本支出801.75万元，其中：人员经费682.28万元，占基本支出的85.10%,主要包括基本工资、津贴补贴、奖金、伙食补助费，养老保险、医疗保险、住房公积金、对个人和家庭的补助等；公用经费119.47万元，占基本支出的14.90%，主要包括办公费、印刷费、咨询费、手续费、水电费、物业管理费、差旅费、会议费、培训费、公务接待费、工会经费等。</w:t>
      </w:r>
    </w:p>
    <w:p>
      <w:pPr>
        <w:pStyle w:val="2"/>
        <w:rPr>
          <w:rFonts w:hint="default"/>
        </w:rPr>
      </w:pP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“三公”经费财政拨款支出预算为8万元，支出决算为</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.36万元，完成预算的79.5%，其中：</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因公出国（境）费支出预算为0万元，支出决算为0万元。与上年相比减少（增加）0万元。</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公务接待费支出预算为8万元，支出决算为</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.36万元，完成预算的79.5%，决算数小于年初预算数的主要原因是在上年的基础上本年继续严控三公经费支出，与上年相比减少3.24万元，减少33.75%,减少的主要原因是本年度继续严控公务接待支出。</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1、因公出国（境）费支出决算为0万元，全年安排因公出国（境）团组0个，累计0人次。</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2、公务接待费支出决算为3</w:t>
      </w:r>
      <w:r>
        <w:rPr>
          <w:rFonts w:hint="eastAsia" w:asciiTheme="minorEastAsia" w:hAnsiTheme="minorEastAsia"/>
          <w:bCs/>
          <w:kern w:val="0"/>
          <w:sz w:val="32"/>
          <w:szCs w:val="32"/>
          <w:lang w:val="en-US" w:eastAsia="zh-CN"/>
        </w:rPr>
        <w:t>.</w:t>
      </w:r>
      <w:r>
        <w:rPr>
          <w:rFonts w:hint="eastAsia" w:asciiTheme="minorEastAsia" w:hAnsiTheme="minorEastAsia"/>
          <w:bCs/>
          <w:kern w:val="0"/>
          <w:sz w:val="32"/>
          <w:szCs w:val="32"/>
        </w:rPr>
        <w:t>36万元，全年共接待来访团组52个、来宾670人次，主要是省、市来我单位考察、调研、项目合作、招商引资、易地扶贫搬迁工作督查等事项发生的接待支出。</w:t>
      </w:r>
    </w:p>
    <w:p>
      <w:pPr>
        <w:widowControl/>
        <w:spacing w:line="600" w:lineRule="exact"/>
        <w:ind w:firstLine="640" w:firstLineChars="200"/>
        <w:rPr>
          <w:rFonts w:hint="default"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3、公务用车购置费及运行维护费支出决算为0万元，其中：公务用车购置费0万元。公务用车运行维护费0万元，截止2019年12月31日，我单位开支财政拨款的公务用车保有量为0辆</w:t>
      </w:r>
      <w:r>
        <w:rPr>
          <w:rFonts w:hint="eastAsia" w:asciiTheme="minorEastAsia" w:hAnsiTheme="minorEastAsia"/>
          <w:bCs/>
          <w:kern w:val="0"/>
          <w:sz w:val="32"/>
          <w:szCs w:val="32"/>
          <w:lang w:eastAsia="zh-CN"/>
        </w:rPr>
        <w:t>，年新增公务用车为</w:t>
      </w:r>
      <w:r>
        <w:rPr>
          <w:rFonts w:hint="eastAsia" w:asciiTheme="minorEastAsia" w:hAnsiTheme="minorEastAsia"/>
          <w:bCs/>
          <w:kern w:val="0"/>
          <w:sz w:val="32"/>
          <w:szCs w:val="32"/>
          <w:lang w:val="en-US" w:eastAsia="zh-CN"/>
        </w:rPr>
        <w:t>0辆。</w:t>
      </w:r>
      <w:bookmarkStart w:id="0" w:name="_GoBack"/>
      <w:bookmarkEnd w:id="0"/>
    </w:p>
    <w:p>
      <w:pPr>
        <w:pStyle w:val="10"/>
        <w:rPr>
          <w:rFonts w:hAnsi="黑体"/>
          <w:b/>
          <w:sz w:val="32"/>
          <w:szCs w:val="32"/>
        </w:rPr>
      </w:pPr>
      <w:r>
        <w:rPr>
          <w:rFonts w:hint="eastAsia" w:hAnsi="黑体"/>
          <w:b/>
          <w:sz w:val="32"/>
          <w:szCs w:val="32"/>
        </w:rPr>
        <w:t>八、政府性基金预算收入支出决算情况</w:t>
      </w:r>
    </w:p>
    <w:p>
      <w:pPr>
        <w:pStyle w:val="10"/>
        <w:spacing w:line="600" w:lineRule="exact"/>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cstheme="minorBidi"/>
          <w:bCs/>
          <w:color w:val="auto"/>
          <w:sz w:val="32"/>
          <w:szCs w:val="32"/>
        </w:rPr>
        <w:t>本单位无政府性基金收支</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九、关于2019年度预算绩效情况说明</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为加强财政预算资金管理，进一步规范预算资金使用，提高财政资金使用效益，根据《衡南县财政局关于开展2019年度县级财政资金绩效自评工作的通知》要求，我局对2019年度本单位整体支出进行了绩效自评。</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在县委、县政府的正确领导下和市发改委的关心支持下，我局紧紧围绕县委政府和上级发改部门提出的目标和任务，克服困难，开拓进取，较好的完成了2019年的工作任务。各项经济指标在全市排名靠前，同时在争资跑项、重点项目建设、深化制度改革、“三大攻坚战”、价格监管、规划编制等方面均取得了突出成效。</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部门整体支出绩效情况如下：</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1、重点支出安排率: 100%</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2、在职人员控制率：100%</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3、“三公经费”控制率：100%，严格控制“三公经费”支出，开源节流。</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4、预算完成率：86.4%</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5、预算变动率：31.6%，由于上年结转以及争资引项、固定资产投资、产业项目建设等各项工作的奖励资金等追加预算所致。</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6、政府采购执行率：100%</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7、在资金管理上，我局制定了一系列的财务管理制度。</w:t>
      </w:r>
    </w:p>
    <w:p>
      <w:pPr>
        <w:pStyle w:val="10"/>
        <w:spacing w:line="600" w:lineRule="exact"/>
        <w:ind w:firstLine="640" w:firstLineChars="200"/>
        <w:rPr>
          <w:rFonts w:asciiTheme="minorEastAsia" w:hAnsiTheme="minorEastAsia" w:eastAsiaTheme="minorEastAsia" w:cstheme="minorBidi"/>
          <w:bCs/>
          <w:color w:val="auto"/>
          <w:sz w:val="32"/>
          <w:szCs w:val="32"/>
        </w:rPr>
      </w:pPr>
      <w:r>
        <w:rPr>
          <w:rFonts w:hint="eastAsia" w:asciiTheme="minorEastAsia" w:hAnsiTheme="minorEastAsia" w:eastAsiaTheme="minorEastAsia" w:cstheme="minorBidi"/>
          <w:bCs/>
          <w:color w:val="auto"/>
          <w:sz w:val="32"/>
          <w:szCs w:val="32"/>
        </w:rPr>
        <w:t>具体绩效自评报告见附件。</w:t>
      </w:r>
    </w:p>
    <w:p>
      <w:pPr>
        <w:pStyle w:val="10"/>
        <w:spacing w:line="600" w:lineRule="exact"/>
        <w:ind w:firstLine="640" w:firstLineChars="200"/>
        <w:rPr>
          <w:rFonts w:asciiTheme="minorEastAsia" w:hAnsiTheme="minorEastAsia" w:eastAsiaTheme="minorEastAsia" w:cstheme="minorBidi"/>
          <w:bCs/>
          <w:color w:val="auto"/>
          <w:sz w:val="32"/>
          <w:szCs w:val="32"/>
        </w:rPr>
      </w:pPr>
    </w:p>
    <w:p>
      <w:pPr>
        <w:pStyle w:val="10"/>
        <w:rPr>
          <w:rFonts w:hAnsi="黑体"/>
          <w:b/>
          <w:sz w:val="32"/>
          <w:szCs w:val="32"/>
        </w:rPr>
      </w:pPr>
      <w:r>
        <w:rPr>
          <w:rFonts w:hint="eastAsia" w:hAnsi="黑体"/>
          <w:b/>
          <w:sz w:val="32"/>
          <w:szCs w:val="32"/>
        </w:rPr>
        <w:t>十、其他重要事项情况说明</w:t>
      </w:r>
    </w:p>
    <w:p>
      <w:pPr>
        <w:ind w:firstLine="281" w:firstLineChars="100"/>
        <w:jc w:val="left"/>
        <w:rPr>
          <w:rFonts w:ascii="仿宋_GB2312" w:eastAsia="仿宋_GB2312" w:hAnsiTheme="minorEastAsia"/>
          <w:b/>
          <w:bCs/>
          <w:sz w:val="28"/>
          <w:szCs w:val="32"/>
        </w:rPr>
      </w:pPr>
      <w:r>
        <w:rPr>
          <w:rFonts w:hint="eastAsia" w:ascii="仿宋_GB2312" w:eastAsia="仿宋_GB2312" w:hAnsiTheme="minorEastAsia"/>
          <w:b/>
          <w:bCs/>
          <w:sz w:val="28"/>
          <w:szCs w:val="32"/>
        </w:rPr>
        <w:t>（一）机关运行经费支出情况</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年度机关运行经费支出119.47万元，比年初预算数增加78.07万元，增长188.57%。主要原因是：我单位年初预算中公用经费的金额偏低，日常运行中办公经费等存在较大资金缺口所致。</w:t>
      </w:r>
    </w:p>
    <w:p>
      <w:pPr>
        <w:ind w:firstLine="281" w:firstLineChars="100"/>
        <w:jc w:val="left"/>
        <w:rPr>
          <w:rFonts w:ascii="仿宋_GB2312" w:eastAsia="仿宋_GB2312" w:hAnsiTheme="minorEastAsia"/>
          <w:b/>
          <w:bCs/>
          <w:sz w:val="28"/>
          <w:szCs w:val="32"/>
        </w:rPr>
      </w:pPr>
      <w:r>
        <w:rPr>
          <w:rFonts w:hint="eastAsia" w:ascii="仿宋_GB2312" w:eastAsia="仿宋_GB2312" w:hAnsiTheme="minorEastAsia"/>
          <w:b/>
          <w:bCs/>
          <w:sz w:val="28"/>
          <w:szCs w:val="32"/>
        </w:rPr>
        <w:t>（二）一般性支出情况</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11.07万元，用于召开重点项目建设推进、固定资产联网直报等会议，人数约为550人，内容为布置全县重点项目任务、推进固定资产联网直报工作等。开支培训费3.58万元，用于开展规上服务业、固定资产投资工作业务培训，人数约为170人，内容为规上服务业、固定资产投资统计报表等业务；没有举办节庆、晚会、论坛、赛事活动。</w:t>
      </w:r>
    </w:p>
    <w:p>
      <w:pPr>
        <w:ind w:firstLine="281" w:firstLineChars="100"/>
        <w:jc w:val="left"/>
        <w:rPr>
          <w:rFonts w:ascii="仿宋_GB2312" w:eastAsia="仿宋_GB2312" w:hAnsiTheme="minorEastAsia"/>
          <w:b/>
          <w:bCs/>
          <w:sz w:val="28"/>
          <w:szCs w:val="32"/>
        </w:rPr>
      </w:pPr>
      <w:r>
        <w:rPr>
          <w:rFonts w:hint="eastAsia" w:ascii="仿宋_GB2312" w:eastAsia="仿宋_GB2312" w:hAnsiTheme="minorEastAsia"/>
          <w:b/>
          <w:bCs/>
          <w:sz w:val="28"/>
          <w:szCs w:val="32"/>
        </w:rPr>
        <w:t>（三）政府采购支出情况</w:t>
      </w:r>
    </w:p>
    <w:p>
      <w:pPr>
        <w:spacing w:line="600" w:lineRule="exact"/>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本部门2019年度政府采购支出总额12.36万元，其中：政府采购货物支出4.70万元、政府采购工程支出7.66万元、政府采购服务支出0万元。授予中小企业合同金额12.36万元，占政府采购支出总额的100%，其中：授予小微企业合同金额12.36万元，占政府采购支出总额的100%。政府采购支出</w:t>
      </w:r>
      <w:r>
        <w:rPr>
          <w:rFonts w:hint="eastAsia" w:cs="黑体" w:asciiTheme="minorEastAsia" w:hAnsiTheme="minorEastAsia"/>
          <w:color w:val="000000"/>
          <w:kern w:val="0"/>
          <w:sz w:val="32"/>
          <w:szCs w:val="32"/>
          <w:lang w:eastAsia="zh-CN"/>
        </w:rPr>
        <w:t>主要内容用于单位业务采购。</w:t>
      </w:r>
    </w:p>
    <w:p>
      <w:pPr>
        <w:ind w:firstLine="281" w:firstLineChars="100"/>
        <w:jc w:val="left"/>
        <w:rPr>
          <w:rFonts w:hint="eastAsia" w:ascii="仿宋_GB2312" w:eastAsia="仿宋_GB2312" w:hAnsiTheme="minorEastAsia"/>
          <w:b/>
          <w:bCs/>
          <w:sz w:val="28"/>
          <w:szCs w:val="32"/>
        </w:rPr>
      </w:pPr>
      <w:r>
        <w:rPr>
          <w:rFonts w:hint="eastAsia" w:ascii="仿宋_GB2312" w:eastAsia="仿宋_GB2312" w:hAnsiTheme="minorEastAsia"/>
          <w:b/>
          <w:bCs/>
          <w:sz w:val="28"/>
          <w:szCs w:val="32"/>
        </w:rPr>
        <w:t>（四）国有资产占用情况</w:t>
      </w:r>
    </w:p>
    <w:p>
      <w:pPr>
        <w:spacing w:line="600" w:lineRule="exact"/>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截至2019年12月31日，本单位共有车辆0辆；单位价值50万元以上通用设备0台（套）；单位价值100万元以上专用设备0台（套）。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rPr>
          <w:rFonts w:hAnsi="黑体"/>
          <w:b/>
          <w:sz w:val="32"/>
          <w:szCs w:val="32"/>
        </w:rPr>
      </w:pPr>
      <w:r>
        <w:rPr>
          <w:rFonts w:hint="eastAsia" w:hAnsi="黑体"/>
          <w:b/>
          <w:sz w:val="32"/>
          <w:szCs w:val="32"/>
        </w:rPr>
        <w:t>一、财政拨款收入：指财政当年拨付的资金。</w:t>
      </w:r>
    </w:p>
    <w:p>
      <w:pPr>
        <w:pStyle w:val="10"/>
        <w:rPr>
          <w:rFonts w:hAnsi="黑体"/>
          <w:b/>
          <w:sz w:val="32"/>
          <w:szCs w:val="32"/>
        </w:rPr>
      </w:pPr>
      <w:r>
        <w:rPr>
          <w:rFonts w:hint="eastAsia" w:hAnsi="黑体"/>
          <w:b/>
          <w:sz w:val="32"/>
          <w:szCs w:val="32"/>
        </w:rPr>
        <w:t>二、年初结转和结余：指以前年度尚未完成、结转到本年按有关规定继续使用的资金。</w:t>
      </w:r>
    </w:p>
    <w:p>
      <w:pPr>
        <w:pStyle w:val="10"/>
        <w:rPr>
          <w:rFonts w:hAnsi="黑体"/>
          <w:b/>
          <w:sz w:val="32"/>
          <w:szCs w:val="32"/>
        </w:rPr>
      </w:pPr>
      <w:r>
        <w:rPr>
          <w:rFonts w:hint="eastAsia" w:hAnsi="黑体"/>
          <w:b/>
          <w:sz w:val="32"/>
          <w:szCs w:val="32"/>
        </w:rPr>
        <w:t>三、年末结转和结余：指本年度或以前年度预算安排、因客观条件发生变化无法按计划实施，需要延迟到以后年度按有关规定继续使用的资金。</w:t>
      </w:r>
    </w:p>
    <w:p>
      <w:pPr>
        <w:pStyle w:val="10"/>
        <w:rPr>
          <w:rFonts w:hAnsi="黑体"/>
          <w:b/>
          <w:sz w:val="32"/>
          <w:szCs w:val="32"/>
        </w:rPr>
      </w:pPr>
      <w:r>
        <w:rPr>
          <w:rFonts w:hint="eastAsia" w:hAnsi="黑体"/>
          <w:b/>
          <w:sz w:val="32"/>
          <w:szCs w:val="32"/>
        </w:rPr>
        <w:t>四、基本支出：指为保障机构正常运转、完成日常工作任务而发生的人员支出和公用支出。</w:t>
      </w:r>
    </w:p>
    <w:p>
      <w:pPr>
        <w:pStyle w:val="10"/>
        <w:rPr>
          <w:rFonts w:hAnsi="黑体"/>
          <w:b/>
          <w:sz w:val="32"/>
          <w:szCs w:val="32"/>
        </w:rPr>
      </w:pPr>
      <w:r>
        <w:rPr>
          <w:rFonts w:hint="eastAsia" w:hAnsi="黑体"/>
          <w:b/>
          <w:sz w:val="32"/>
          <w:szCs w:val="32"/>
        </w:rPr>
        <w:t>五、项目支出：指在基本支出之外为完成特定行政任务和事业发展目标所发生的支出。</w:t>
      </w:r>
    </w:p>
    <w:p>
      <w:pPr>
        <w:pStyle w:val="10"/>
        <w:rPr>
          <w:rFonts w:hAnsi="黑体"/>
          <w:b/>
          <w:sz w:val="32"/>
          <w:szCs w:val="32"/>
        </w:rPr>
      </w:pPr>
      <w:r>
        <w:rPr>
          <w:rFonts w:hint="eastAsia" w:hAnsi="黑体"/>
          <w:b/>
          <w:sz w:val="32"/>
          <w:szCs w:val="32"/>
        </w:rPr>
        <w:t>六、“三公”经费：指财政拨款安排的因公出国（境）、公务用车购置及运行费和公务接待费。</w:t>
      </w:r>
    </w:p>
    <w:p>
      <w:pPr>
        <w:pStyle w:val="10"/>
        <w:rPr>
          <w:rFonts w:hAnsi="黑体"/>
          <w:b/>
          <w:sz w:val="32"/>
          <w:szCs w:val="32"/>
        </w:rPr>
      </w:pPr>
      <w:r>
        <w:rPr>
          <w:rFonts w:hint="eastAsia" w:hAnsi="黑体"/>
          <w:b/>
          <w:sz w:val="32"/>
          <w:szCs w:val="32"/>
        </w:rPr>
        <w:t>七、机关运行经费：为保障行政单位运行用于购买货物和服务的各项资金，包括办公费、印刷费、邮电费、差旅费、会议费、福利费、日常维修费、专用材料及一般设备购置费、办公用房水电费、办公用房取暖费、办公用房物业管理费、公务用车购置运行费以及其他费用。</w:t>
      </w:r>
    </w:p>
    <w:p>
      <w:pPr>
        <w:rPr>
          <w:rFonts w:ascii="Times New Roman" w:hAnsi="Times New Roman" w:cs="Times New Roman"/>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  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spacing w:line="600" w:lineRule="exact"/>
        <w:ind w:firstLine="640" w:firstLineChars="200"/>
        <w:rPr>
          <w:rFonts w:ascii="仿宋" w:hAnsi="仿宋" w:eastAsia="仿宋" w:cs="仿宋"/>
          <w:b/>
          <w:bCs/>
          <w:kern w:val="0"/>
          <w:sz w:val="32"/>
          <w:szCs w:val="32"/>
        </w:rPr>
      </w:pPr>
      <w:r>
        <w:rPr>
          <w:rFonts w:hint="eastAsia" w:ascii="仿宋_GB2312" w:hAnsi="仿宋_GB2312" w:eastAsia="仿宋_GB2312" w:cs="仿宋_GB2312"/>
          <w:kern w:val="0"/>
          <w:sz w:val="32"/>
          <w:szCs w:val="32"/>
        </w:rPr>
        <w:t>为加强财政预算资金管理，进一步规范预算资金使用，提高财政资金使用效益，根据《衡南县财政局关于开展2019年度县级财政资金绩效自评工作的通知》要求，我局对2019年度本单位整体支出进行了绩效自评，现将具体绩效评价情况报告如下：          </w:t>
      </w:r>
      <w:r>
        <w:rPr>
          <w:rFonts w:hint="eastAsia" w:ascii="仿宋" w:hAnsi="仿宋" w:eastAsia="仿宋"/>
          <w:spacing w:val="-2"/>
          <w:sz w:val="32"/>
          <w:szCs w:val="32"/>
        </w:rPr>
        <w:t xml:space="preserve"> </w:t>
      </w:r>
      <w:r>
        <w:rPr>
          <w:rFonts w:hint="eastAsia" w:ascii="仿宋" w:hAnsi="仿宋" w:eastAsia="仿宋" w:cs="仿宋"/>
          <w:b/>
          <w:bCs/>
          <w:kern w:val="0"/>
          <w:sz w:val="32"/>
          <w:szCs w:val="32"/>
        </w:rPr>
        <w:t xml:space="preserve">                                                                                                                                           </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一、部门基本情况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1.部门职责</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衡南县发展和改革局是县政府工作部门，是综合研究拟定全县经济和社会发展政策，进行总量平衡，指导全县总体经济体制改革的宏观调控部门。主要职责有：</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（1）拟定并组织实施全县国民经济和社会发展战略、中长期规划和年度计划。</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（2）研究提出加快建设现代化经济体系、推动高质量发展的总体目标、重大任务及相关政策。</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（3）研究提出全县国民经济和社会发展主要目标，监测预测预警宏观经济和社会发展态势趋势，提出宏观调控政策建议，综合协调宏观经济政策，牵头研究宏观经济应对措施。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（4）调节经济运行，协调解决经济运行中的重大问题。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（5）研究提出和综合协调全县经济体制改革的建议与措施。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（6）研究提出全县利用外资和境外投资的战略、规划、总量平衡和结构优化的政策。</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（7）负责投资综合管理，拟定全县全社会固定资产投资总规模和投资结构的调控目标、政策及措施。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（8）推进落实区域协调发展战略、新型城镇化战略和重大政策，组织拟定相关区域规划和政策。</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（9）组织拟定综合性产业政策，负责协调第一、二、三产业发展的重大问题并统筹衔接相关发展规划和重大政策；推动实施创新驱动发展战略。</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（10）跟踪研判涉及经济安全、生态安全、资源安全、科技安全、社会安全等各类风险隐患，提出相关工作建议。</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（11）负责社会发展与国民经济发展的政策衔接，组织拟定社会发展战略、总体规划。</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（12）推进可持续发展战略，推动生态文明建设和改革，协调生态环境保护与修护、能源资源节约和综合利用等工作。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（13）负责能源规划与社会发展规划的协调衔接。</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（14）拟定全县价格改革方案和年度计划，研究提出价格调控目标和政策建议，组织实施价格总水平调控。</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（15）牵头组织监督公共资源交易活动；研究拟定推进社会信用体系建设的法规、规划、政策措施，统筹推动统一的社会信用信息平台建设，协调有关重大问题。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（16）会同有关部门拟定推进全县经济建设与国防建设协调发展。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（17）牵头承担县国防动员委员会、推进“一带一路”建设暨国际产能合作领导小组、县推动长江经济带发展领导小组、县促进中部地区崛起领导小组等有关具体工作。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（18）负责本行业领域职责范围内的应急管理工作，对本行业领域职责范围内的安全生产工作实施监督管理。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（19）完成县委和县政府交办的其他任务。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2.机构设置情况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了推进上述职能工作的开展，我局下设办公室（行政审批服务股）、固定资产投资股（国民经济综合和法规股）、农村经济股、工交能源和环保资源股（县“两型”社会建设办公室）、服务业股（财政金融和信用建设股）、社会发展股、价格调控管理股共七个股室。同时，下设县重点项目建设事务中心、价格认证中心、成本调查队三个非独立核算二级机构。</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3.人员编制情况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2019年6月底共有干部职工107人，其中在职69人（含全额编制49人，非全额编制16人，临聘人员4人），退休38人。2019年7月机构改革调动和转隶调出24人。截至2019年12月底我局共有干部职工83人，其中在职人员44人（含全额编制35人、非全额编制5人、临聘人员4人），退休人员39人。</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二、部门整体支出管理及使用情况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1.部门预算收支情况（含公共财政拨款、政府性基金拨款、纳入专户管理的非税收入拨款及其他资金）及部门决算情况。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（1）2019年部门预算情况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我局2019年单位支出预算批复经费包干数为636.72万元，其中工资福利支出534.32万元，一般商品和服务支出41.40万元，专项经费61万元。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纳入专户管理的非税收入拨款158万元。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（2）2019年部门决算情况</w:t>
      </w: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我局2019年部门决算收入总计1046.13万元（含上年结转121.39万元，追加申请的专项经费130.02万元），支出总计903.50万元，结转下年142.63万元（含年底尚未支付的转隶人员经费58.65万元）。</w:t>
      </w:r>
    </w:p>
    <w:p>
      <w:pPr>
        <w:numPr>
          <w:ilvl w:val="0"/>
          <w:numId w:val="2"/>
        </w:num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支出分类情况</w:t>
      </w:r>
    </w:p>
    <w:p>
      <w:pPr>
        <w:numPr>
          <w:ilvl w:val="0"/>
          <w:numId w:val="3"/>
        </w:num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基本支出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2019年基本支出总计801.75万元，其中工资福利支出639.57万元，商品和服务支出109.32万元，对个人和家庭的补助支出38.56万元，资本性支出13.80万元，其他支出0.5万元。以上支出主要用于职工工资、津补贴、社保、住房公积金及退休人员慰问、办公费、差旅费、培训费、交通补助、维修维护费、邮电费、印刷费、办公设备购置等日常公用经费。</w:t>
      </w:r>
    </w:p>
    <w:p>
      <w:pPr>
        <w:numPr>
          <w:ilvl w:val="0"/>
          <w:numId w:val="3"/>
        </w:num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2019年项目支出总计101.75万元。其中，精准扶贫相关工作开支29.64万元，主要用于后盾单位帮扶资金、驻村队工作经费、常态化督导组工作经费、节日扶贫慰问等。规上服务业工作经费7.74万元，主要用于规上服务业相关差旅费、培训费、规上服务业固定资产联网直报工作人员补助等。易地扶贫搬迁工作经费33.55万元，主要用于易地扶贫搬迁搬迁工作相关的资料印刷费、租车费、会议费、办公费、差旅费、报告编写费用等支出。争资引项工作经费25.09万元，主要用于重点项目调研、督查等工作开支以及固定资产投资、跑项争资、重点项目建设、固定资产联网直报工作奖励。成本调查工作经费2.17万元，价格专项检查工作经费0.86万元，物价监测与服务工作经费0.99万元，价格监测与调查工作经费1.68万元，以上主要用于各股室开展上述工作发生的相关开支等。</w:t>
      </w:r>
    </w:p>
    <w:p>
      <w:pPr>
        <w:numPr>
          <w:ilvl w:val="0"/>
          <w:numId w:val="2"/>
        </w:num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“三公”经费情况</w:t>
      </w:r>
    </w:p>
    <w:p>
      <w:pPr>
        <w:spacing w:line="560" w:lineRule="exact"/>
        <w:ind w:left="420" w:leftChars="20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我局2019年“三公经费”支出总计6.36万元，其中公务接待费支出6.36万元，无因公出国（境）费用和公务用车运行维护费。相比上年减少支出3.24万元。</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三、部门整体支出绩效评价情况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加强预算管理、规范财务行为，我局制定并完善了《局财务管理制度》并严格执行。确保预算资金的使用均符合国家财经法规、财务管理制度规定及相关预算支出管理办法的规定。资金拨付严格按照县财政的相关要求和规定，履行完整的审批程序和手续。重大预算支出均经过评估论证。经费支出基本符合部门预算批复的用途，不存在截留、挤占、挪用、虚列支出等情况。同时，我局积极按照县财政的相关要求报送并公开预决算信息，加强固定资产管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县委、县政府的正确领导下和市发改委的关心支持下，我局紧紧围绕县委政府和上级发改部门提出的目标和任务，克服困难，开拓进取，较好的完成了2019年的工作任务。各项经济指标在全市排名靠前，同时在争资跑项、重点项目建设、深化制度改革、“三大攻坚战”、价格监管、规划编制等方面均取得了突出成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部门整体支出绩效情况如下：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1、重点支出安排率: 100%</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2、在职人员控制率：100%</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3、“三公经费”控制率：100%，严格控制“三公经费”支出，开源节流。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4、预算完成率：86.4%</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5、预算变动率：31.6%，由于上年结转以及争资引项、固定资产投资、产业项目建设等各项工作的奖励资金等追加预算所致。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6、政府采购执行率：100%</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7、在资金管理上，我局制定了一系列的财务管理制度。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四、存在的主要问题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因财政资金日益紧张，预算资金逐年减少，单位预算管理压力加大。部分开支未纳入预算，资金缺口较大。本单位的预算执行能力还有待加强，需要进一步提高资金使用效率。</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由于年底未及时拨付财政资金，部分开支无法在决算前支付，导致决算数与预算数不能完全匹配。</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五、改进措施及建议</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1、进一步精细测算各项工作年度开支，争取各项工作开展所需经费能够纳入预算，减少预算变动率。</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2、抓好财务预算管理，严格执行财务管理制度，充分发挥监督作用。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3、严格财务支出审批。抓好审核和审批两个环节，在审核审批中严把支出关，切实维护财务纪律的严肃性。</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4、强化经费管理。重点加强招待费和办公经费的管理，严格控制支出，降低经费支出。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5、及时拨付资金，减少结转下年的资金。  </w:t>
      </w:r>
    </w:p>
    <w:p>
      <w:pPr>
        <w:pStyle w:val="2"/>
        <w:rPr>
          <w:rFonts w:hint="default"/>
        </w:rPr>
      </w:pPr>
    </w:p>
    <w:p>
      <w:pPr>
        <w:pStyle w:val="2"/>
        <w:rPr>
          <w:rFonts w:hint="default"/>
        </w:rPr>
      </w:pPr>
    </w:p>
    <w:p>
      <w:pPr>
        <w:pStyle w:val="2"/>
        <w:rPr>
          <w:rFonts w:hint="default"/>
        </w:rPr>
      </w:pP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衡南县发展和改革局</w:t>
      </w:r>
    </w:p>
    <w:p>
      <w:pPr>
        <w:spacing w:line="56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2020年6月22日</w:t>
      </w:r>
    </w:p>
    <w:p>
      <w:pPr>
        <w:ind w:firstLine="640" w:firstLineChars="200"/>
        <w:jc w:val="left"/>
        <w:rPr>
          <w:rFonts w:cs="黑体" w:asciiTheme="minorEastAsia" w:hAnsiTheme="minorEastAsia"/>
          <w:color w:val="000000"/>
          <w:kern w:val="0"/>
          <w:sz w:val="32"/>
          <w:szCs w:val="32"/>
        </w:rPr>
      </w:pPr>
    </w:p>
    <w:sectPr>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8C40A"/>
    <w:multiLevelType w:val="singleLevel"/>
    <w:tmpl w:val="BD28C40A"/>
    <w:lvl w:ilvl="0" w:tentative="0">
      <w:start w:val="2"/>
      <w:numFmt w:val="decimal"/>
      <w:lvlText w:val="%1."/>
      <w:lvlJc w:val="left"/>
      <w:pPr>
        <w:tabs>
          <w:tab w:val="left" w:pos="312"/>
        </w:tabs>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BAEA51"/>
    <w:multiLevelType w:val="singleLevel"/>
    <w:tmpl w:val="4ABAEA51"/>
    <w:lvl w:ilvl="0" w:tentative="0">
      <w:start w:val="1"/>
      <w:numFmt w:val="decimal"/>
      <w:suff w:val="nothing"/>
      <w:lvlText w:val="（%1）"/>
      <w:lvlJc w:val="left"/>
      <w:pPr>
        <w:ind w:left="48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2229B"/>
    <w:rsid w:val="000273BD"/>
    <w:rsid w:val="000415B7"/>
    <w:rsid w:val="000658A3"/>
    <w:rsid w:val="00074155"/>
    <w:rsid w:val="000A3F69"/>
    <w:rsid w:val="00152C6D"/>
    <w:rsid w:val="00162D39"/>
    <w:rsid w:val="001A67DB"/>
    <w:rsid w:val="001D51E5"/>
    <w:rsid w:val="001F0C3B"/>
    <w:rsid w:val="001F703B"/>
    <w:rsid w:val="00214427"/>
    <w:rsid w:val="002370C8"/>
    <w:rsid w:val="002602A5"/>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7367B7"/>
    <w:rsid w:val="00783892"/>
    <w:rsid w:val="00812ED5"/>
    <w:rsid w:val="008277D9"/>
    <w:rsid w:val="008A3E8D"/>
    <w:rsid w:val="009237C4"/>
    <w:rsid w:val="00950252"/>
    <w:rsid w:val="00967F5D"/>
    <w:rsid w:val="009A0F95"/>
    <w:rsid w:val="009B3ADF"/>
    <w:rsid w:val="009C3B52"/>
    <w:rsid w:val="00A12BD8"/>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1814A3D"/>
    <w:rsid w:val="01C93F78"/>
    <w:rsid w:val="01F96F5C"/>
    <w:rsid w:val="021C1563"/>
    <w:rsid w:val="02F9588D"/>
    <w:rsid w:val="04553F3B"/>
    <w:rsid w:val="04856889"/>
    <w:rsid w:val="058723DC"/>
    <w:rsid w:val="0598315E"/>
    <w:rsid w:val="05E55998"/>
    <w:rsid w:val="0623127F"/>
    <w:rsid w:val="071A7DCE"/>
    <w:rsid w:val="077523A5"/>
    <w:rsid w:val="07DB5774"/>
    <w:rsid w:val="085B2415"/>
    <w:rsid w:val="0914070C"/>
    <w:rsid w:val="09BA49F4"/>
    <w:rsid w:val="0A036944"/>
    <w:rsid w:val="0A733E75"/>
    <w:rsid w:val="0AA06206"/>
    <w:rsid w:val="0B6F6EED"/>
    <w:rsid w:val="0B863B68"/>
    <w:rsid w:val="0B8F0940"/>
    <w:rsid w:val="0C145ECD"/>
    <w:rsid w:val="0C270167"/>
    <w:rsid w:val="0C895773"/>
    <w:rsid w:val="0D36280E"/>
    <w:rsid w:val="0E246CF6"/>
    <w:rsid w:val="0E4D0B5B"/>
    <w:rsid w:val="0FDC4D1C"/>
    <w:rsid w:val="0FEB4DB6"/>
    <w:rsid w:val="10D36598"/>
    <w:rsid w:val="11395A62"/>
    <w:rsid w:val="11833721"/>
    <w:rsid w:val="11C601B4"/>
    <w:rsid w:val="120C6F28"/>
    <w:rsid w:val="135C1A46"/>
    <w:rsid w:val="1446379D"/>
    <w:rsid w:val="14C24C5B"/>
    <w:rsid w:val="15594BC1"/>
    <w:rsid w:val="168E3235"/>
    <w:rsid w:val="168F3444"/>
    <w:rsid w:val="172C4BE3"/>
    <w:rsid w:val="19340E22"/>
    <w:rsid w:val="19376448"/>
    <w:rsid w:val="19CF37DB"/>
    <w:rsid w:val="1A1A45C4"/>
    <w:rsid w:val="1A775ABE"/>
    <w:rsid w:val="1B05625B"/>
    <w:rsid w:val="1B8120CA"/>
    <w:rsid w:val="1BA21FA1"/>
    <w:rsid w:val="1CAF2650"/>
    <w:rsid w:val="1CDB4E55"/>
    <w:rsid w:val="1DEA45AE"/>
    <w:rsid w:val="1E182B30"/>
    <w:rsid w:val="1E3D4ADF"/>
    <w:rsid w:val="1E926325"/>
    <w:rsid w:val="1E9E2E6B"/>
    <w:rsid w:val="1EAB29F2"/>
    <w:rsid w:val="1F001869"/>
    <w:rsid w:val="1F2113A8"/>
    <w:rsid w:val="1F490CD0"/>
    <w:rsid w:val="1F6976E7"/>
    <w:rsid w:val="20343B48"/>
    <w:rsid w:val="20D51545"/>
    <w:rsid w:val="22AD3DD8"/>
    <w:rsid w:val="239A2356"/>
    <w:rsid w:val="243C70DF"/>
    <w:rsid w:val="244968AA"/>
    <w:rsid w:val="25EB5E8C"/>
    <w:rsid w:val="277C5686"/>
    <w:rsid w:val="27FE3DF5"/>
    <w:rsid w:val="28BD6B9F"/>
    <w:rsid w:val="29126499"/>
    <w:rsid w:val="291D5A7C"/>
    <w:rsid w:val="2A2C24F5"/>
    <w:rsid w:val="2A384132"/>
    <w:rsid w:val="2AE23E35"/>
    <w:rsid w:val="2B46501A"/>
    <w:rsid w:val="2BED4C67"/>
    <w:rsid w:val="2D6C09C7"/>
    <w:rsid w:val="2D8A4A70"/>
    <w:rsid w:val="2DA02BD5"/>
    <w:rsid w:val="2DA2685D"/>
    <w:rsid w:val="2DED3F80"/>
    <w:rsid w:val="2F487824"/>
    <w:rsid w:val="2FDF3A55"/>
    <w:rsid w:val="309E1EB5"/>
    <w:rsid w:val="3208084F"/>
    <w:rsid w:val="328A2FB4"/>
    <w:rsid w:val="332F2B3B"/>
    <w:rsid w:val="33590E33"/>
    <w:rsid w:val="33E44E6F"/>
    <w:rsid w:val="34065F95"/>
    <w:rsid w:val="341D1E77"/>
    <w:rsid w:val="341D20DB"/>
    <w:rsid w:val="34895540"/>
    <w:rsid w:val="34B21AEE"/>
    <w:rsid w:val="34C91FDE"/>
    <w:rsid w:val="35316982"/>
    <w:rsid w:val="3692133B"/>
    <w:rsid w:val="36F903C0"/>
    <w:rsid w:val="37B629D5"/>
    <w:rsid w:val="37FE018B"/>
    <w:rsid w:val="398A332E"/>
    <w:rsid w:val="39AA385E"/>
    <w:rsid w:val="3A43733C"/>
    <w:rsid w:val="3ABA397C"/>
    <w:rsid w:val="3B6B3A3F"/>
    <w:rsid w:val="3D9B551F"/>
    <w:rsid w:val="3DB60B8D"/>
    <w:rsid w:val="3EBC3BDD"/>
    <w:rsid w:val="3F335F8B"/>
    <w:rsid w:val="403034D2"/>
    <w:rsid w:val="40767E17"/>
    <w:rsid w:val="40805934"/>
    <w:rsid w:val="40F148A7"/>
    <w:rsid w:val="41234B91"/>
    <w:rsid w:val="42BD4FD5"/>
    <w:rsid w:val="443C79A8"/>
    <w:rsid w:val="44AE3668"/>
    <w:rsid w:val="45720A4E"/>
    <w:rsid w:val="45726B8B"/>
    <w:rsid w:val="45A9466D"/>
    <w:rsid w:val="461814F2"/>
    <w:rsid w:val="469E078C"/>
    <w:rsid w:val="489A0BAB"/>
    <w:rsid w:val="48B12AD4"/>
    <w:rsid w:val="498178DE"/>
    <w:rsid w:val="4A101D9C"/>
    <w:rsid w:val="4A105ECB"/>
    <w:rsid w:val="4B9117F6"/>
    <w:rsid w:val="4D3B77A9"/>
    <w:rsid w:val="4D3E1534"/>
    <w:rsid w:val="4D3F218B"/>
    <w:rsid w:val="4E287710"/>
    <w:rsid w:val="4EDB050D"/>
    <w:rsid w:val="4FF813BB"/>
    <w:rsid w:val="50113004"/>
    <w:rsid w:val="503407FA"/>
    <w:rsid w:val="50AC0FF2"/>
    <w:rsid w:val="50CE214D"/>
    <w:rsid w:val="50DC6831"/>
    <w:rsid w:val="51F57A3F"/>
    <w:rsid w:val="5202242B"/>
    <w:rsid w:val="521148EE"/>
    <w:rsid w:val="522C2892"/>
    <w:rsid w:val="52464485"/>
    <w:rsid w:val="530C5751"/>
    <w:rsid w:val="53646DAF"/>
    <w:rsid w:val="53BA5C0C"/>
    <w:rsid w:val="53BD60F5"/>
    <w:rsid w:val="53EC1F53"/>
    <w:rsid w:val="54282B20"/>
    <w:rsid w:val="545F6F85"/>
    <w:rsid w:val="56082173"/>
    <w:rsid w:val="56FB2FD2"/>
    <w:rsid w:val="597E2EF8"/>
    <w:rsid w:val="5A281D56"/>
    <w:rsid w:val="5B2C369C"/>
    <w:rsid w:val="5B8F1337"/>
    <w:rsid w:val="5DFD1059"/>
    <w:rsid w:val="5E43293D"/>
    <w:rsid w:val="5E5B5FB2"/>
    <w:rsid w:val="5EE65760"/>
    <w:rsid w:val="5FE51093"/>
    <w:rsid w:val="60F43791"/>
    <w:rsid w:val="616427A6"/>
    <w:rsid w:val="622306CB"/>
    <w:rsid w:val="62BF572C"/>
    <w:rsid w:val="6307737F"/>
    <w:rsid w:val="63897969"/>
    <w:rsid w:val="63904594"/>
    <w:rsid w:val="63F4723D"/>
    <w:rsid w:val="64AA0D0C"/>
    <w:rsid w:val="65471055"/>
    <w:rsid w:val="67413476"/>
    <w:rsid w:val="674C5B3F"/>
    <w:rsid w:val="6806776A"/>
    <w:rsid w:val="684B7CD4"/>
    <w:rsid w:val="69BC0126"/>
    <w:rsid w:val="6A84011D"/>
    <w:rsid w:val="6ACB0477"/>
    <w:rsid w:val="6AD307F4"/>
    <w:rsid w:val="6B2E19DC"/>
    <w:rsid w:val="6B501A23"/>
    <w:rsid w:val="6B9911C6"/>
    <w:rsid w:val="6C0D37A0"/>
    <w:rsid w:val="6C7E720D"/>
    <w:rsid w:val="6E2F77D1"/>
    <w:rsid w:val="6E7E48EA"/>
    <w:rsid w:val="6F561098"/>
    <w:rsid w:val="702E51AA"/>
    <w:rsid w:val="70D74F9E"/>
    <w:rsid w:val="71647D04"/>
    <w:rsid w:val="71C83BB6"/>
    <w:rsid w:val="71CF1F4F"/>
    <w:rsid w:val="72307E9D"/>
    <w:rsid w:val="725F21EC"/>
    <w:rsid w:val="72FF5C63"/>
    <w:rsid w:val="73252B3B"/>
    <w:rsid w:val="733111FE"/>
    <w:rsid w:val="73353AD8"/>
    <w:rsid w:val="735158EB"/>
    <w:rsid w:val="73725E1D"/>
    <w:rsid w:val="75FD3651"/>
    <w:rsid w:val="76BB082B"/>
    <w:rsid w:val="76E75E58"/>
    <w:rsid w:val="76FA5B36"/>
    <w:rsid w:val="77435524"/>
    <w:rsid w:val="78EC06A3"/>
    <w:rsid w:val="79F93A5C"/>
    <w:rsid w:val="7A9B79A2"/>
    <w:rsid w:val="7AF01753"/>
    <w:rsid w:val="7BC51C2F"/>
    <w:rsid w:val="7C41539E"/>
    <w:rsid w:val="7CD44318"/>
    <w:rsid w:val="7CEA560C"/>
    <w:rsid w:val="7D9719DB"/>
    <w:rsid w:val="7DDD7D5C"/>
    <w:rsid w:val="7E26030A"/>
    <w:rsid w:val="7E3D2026"/>
    <w:rsid w:val="7EA4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hint="eastAsia" w:ascii="宋体" w:hAnsi="宋体" w:eastAsia="宋体" w:cs="Times New Roman"/>
      <w:kern w:val="0"/>
      <w:sz w:val="24"/>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8C946-F7CD-46CF-8AB2-86147EA5FF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1484</Words>
  <Characters>8462</Characters>
  <Lines>70</Lines>
  <Paragraphs>19</Paragraphs>
  <TotalTime>5</TotalTime>
  <ScaleCrop>false</ScaleCrop>
  <LinksUpToDate>false</LinksUpToDate>
  <CharactersWithSpaces>9927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冰之剑</cp:lastModifiedBy>
  <cp:lastPrinted>2020-09-28T00:29:00Z</cp:lastPrinted>
  <dcterms:modified xsi:type="dcterms:W3CDTF">2021-06-22T09:14:57Z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4402529CF44F4AE6B7D5B0F9D597357F</vt:lpwstr>
  </property>
</Properties>
</file>